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VŠEOBECN</w:t>
      </w:r>
      <w:r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 ZÁVÄZNÉ  NARIADENIA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 výške príspevku na čiastočnú úhradu nákladov a podmienky úhrady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 školskej jedálni pri materskej škole Belá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0"/>
        <w:jc w:val="center"/>
        <w:rPr/>
      </w:pPr>
      <w:r>
        <w:rPr>
          <w:b/>
          <w:sz w:val="28"/>
          <w:szCs w:val="28"/>
        </w:rPr>
        <w:t>č. 4/2017</w:t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jc w:val="center"/>
        <w:rPr/>
      </w:pPr>
      <w:r>
        <w:rPr/>
        <w:t xml:space="preserve">Obec Belá v zmysle § 6 ods. 1 zákona č. 369/1990 Zb. o obecnom zriadení v znení neskorších zmien a doplnkov a v zmysle § 140 ods. 9 až 11 zákona NR SR č. 245/2008 </w:t>
      </w:r>
    </w:p>
    <w:p>
      <w:pPr>
        <w:pStyle w:val="Normal"/>
        <w:ind w:left="360" w:hanging="0"/>
        <w:jc w:val="center"/>
        <w:rPr/>
      </w:pPr>
      <w:r>
        <w:rPr/>
        <w:t>Z. z. o výchove a vzdelávaní (školský zákon) a o zmene a doplnení niektorých zákonov vydáva toto nariadenie: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hanging="0"/>
        <w:jc w:val="center"/>
        <w:rPr/>
      </w:pPr>
      <w:r>
        <w:rPr>
          <w:b/>
          <w:sz w:val="28"/>
          <w:szCs w:val="28"/>
        </w:rPr>
        <w:t>§1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Úvodné ustanovenia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  <w:t>Účelom tohto Všeobecne záväzného nariadenia (ďalej len VZN) je určenie výšky príspevku na čiastočnú úhradu nákladov a podmienky úhrady v školskej jedálni Belá, ktorú uhrádza zákonný zástupca dieťaťa vo výške nákladov na nákup potravín podľa vekových kategórií stravníkov v nadväznosti na odporúčané výživové dávky.</w:t>
      </w:r>
    </w:p>
    <w:p>
      <w:pPr>
        <w:pStyle w:val="Normal"/>
        <w:ind w:left="360" w:hanging="0"/>
        <w:jc w:val="both"/>
        <w:rPr/>
      </w:pPr>
      <w:r>
        <w:rPr/>
        <w:t>Podľa kapacitných možností so súhlasom zriaďovateľa a príslušného regionálneho úradu verejného zdravotníctva sa môžu v školskej jedálni stravovať aj iné fyzické osoby.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center"/>
        <w:rPr/>
      </w:pPr>
      <w:r>
        <w:rPr>
          <w:b/>
          <w:sz w:val="28"/>
          <w:szCs w:val="28"/>
        </w:rPr>
        <w:t>§2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Výška príspevku, termín a spôsob úhrady v školskej jedálni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Obec Belá určuje výšku  príspevku  na stravovanie v školskej jedálni nasledovne:</w:t>
      </w:r>
    </w:p>
    <w:p>
      <w:pPr>
        <w:pStyle w:val="Normal"/>
        <w:ind w:left="720" w:hanging="0"/>
        <w:jc w:val="both"/>
        <w:rPr/>
      </w:pPr>
      <w:r>
        <w:rPr/>
      </w:r>
    </w:p>
    <w:tbl>
      <w:tblPr>
        <w:tblStyle w:val="Mriekatabuky"/>
        <w:tblW w:w="8342" w:type="dxa"/>
        <w:jc w:val="left"/>
        <w:tblInd w:w="7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0"/>
        <w:gridCol w:w="1090"/>
        <w:gridCol w:w="1034"/>
        <w:gridCol w:w="1150"/>
        <w:gridCol w:w="1222"/>
        <w:gridCol w:w="1109"/>
        <w:gridCol w:w="1016"/>
      </w:tblGrid>
      <w:tr>
        <w:trPr/>
        <w:tc>
          <w:tcPr>
            <w:tcW w:w="17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Stravníci</w:t>
            </w:r>
          </w:p>
        </w:tc>
        <w:tc>
          <w:tcPr>
            <w:tcW w:w="10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Desiata</w:t>
            </w:r>
          </w:p>
        </w:tc>
        <w:tc>
          <w:tcPr>
            <w:tcW w:w="10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Obed</w:t>
            </w:r>
          </w:p>
        </w:tc>
        <w:tc>
          <w:tcPr>
            <w:tcW w:w="11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Olovrant</w:t>
            </w:r>
          </w:p>
        </w:tc>
        <w:tc>
          <w:tcPr>
            <w:tcW w:w="12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Náklady na nákup</w:t>
            </w:r>
          </w:p>
        </w:tc>
        <w:tc>
          <w:tcPr>
            <w:tcW w:w="11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Režijné náklady</w:t>
            </w:r>
          </w:p>
        </w:tc>
        <w:tc>
          <w:tcPr>
            <w:tcW w:w="101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szCs w:val="20"/>
                <w:lang w:eastAsia="sk-SK"/>
              </w:rPr>
              <w:t>Spolu</w:t>
            </w:r>
          </w:p>
        </w:tc>
      </w:tr>
      <w:tr>
        <w:trPr/>
        <w:tc>
          <w:tcPr>
            <w:tcW w:w="17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Materská škola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od 2 – 6 rokov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( 3.pásmo )</w:t>
            </w:r>
          </w:p>
        </w:tc>
        <w:tc>
          <w:tcPr>
            <w:tcW w:w="10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0,28</w:t>
            </w:r>
          </w:p>
        </w:tc>
        <w:tc>
          <w:tcPr>
            <w:tcW w:w="10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0,68</w:t>
            </w:r>
          </w:p>
        </w:tc>
        <w:tc>
          <w:tcPr>
            <w:tcW w:w="11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0,23</w:t>
            </w:r>
          </w:p>
        </w:tc>
        <w:tc>
          <w:tcPr>
            <w:tcW w:w="12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-</w:t>
            </w:r>
          </w:p>
        </w:tc>
        <w:tc>
          <w:tcPr>
            <w:tcW w:w="11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-</w:t>
            </w:r>
          </w:p>
        </w:tc>
        <w:tc>
          <w:tcPr>
            <w:tcW w:w="101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1,19</w:t>
            </w:r>
          </w:p>
        </w:tc>
      </w:tr>
      <w:tr>
        <w:trPr/>
        <w:tc>
          <w:tcPr>
            <w:tcW w:w="17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Cudzí stravníci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( 3.pásmo 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</w:tc>
        <w:tc>
          <w:tcPr>
            <w:tcW w:w="10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-</w:t>
            </w:r>
          </w:p>
        </w:tc>
        <w:tc>
          <w:tcPr>
            <w:tcW w:w="10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1,19</w:t>
            </w:r>
          </w:p>
        </w:tc>
        <w:tc>
          <w:tcPr>
            <w:tcW w:w="11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-</w:t>
            </w:r>
          </w:p>
        </w:tc>
        <w:tc>
          <w:tcPr>
            <w:tcW w:w="12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0,50</w:t>
            </w:r>
          </w:p>
        </w:tc>
        <w:tc>
          <w:tcPr>
            <w:tcW w:w="11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1,01</w:t>
            </w:r>
          </w:p>
        </w:tc>
        <w:tc>
          <w:tcPr>
            <w:tcW w:w="101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Cs w:val="20"/>
                <w:lang w:eastAsia="sk-SK"/>
              </w:rPr>
            </w:pPr>
            <w:r>
              <w:rPr>
                <w:rFonts w:eastAsia="Calibri" w:cs="Times New Roman" w:ascii="Calibri" w:hAnsi="Calibri"/>
                <w:szCs w:val="20"/>
                <w:lang w:eastAsia="sk-SK"/>
              </w:rPr>
              <w:t>2,70</w:t>
            </w:r>
          </w:p>
        </w:tc>
      </w:tr>
    </w:tbl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Zákonný zástupca dieťaťa uhrádza výšku finančného príspevku na stravovanie určenú týmto VZN podľa vekových kategórií stravníkov.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Iné fyzické osoby uhrádzajú plnú výšku hodnoty jedla tzn. hodnotu potravín a režijné náklady. Výroba jedál stravníkov – cudzí stravníci sa zabezpečuje podľa vekovej kategórie pre stravníkov od 15 rokov. </w:t>
      </w:r>
    </w:p>
    <w:p>
      <w:pPr>
        <w:pStyle w:val="Normal"/>
        <w:ind w:left="360" w:hanging="0"/>
        <w:jc w:val="center"/>
        <w:rPr/>
      </w:pPr>
      <w:r>
        <w:rPr>
          <w:b/>
          <w:sz w:val="28"/>
          <w:szCs w:val="28"/>
        </w:rPr>
        <w:t>§3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Určenie podmienok platenia príspevku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Príspevok vo výške stanovenej v § 2 ods. 1 tohto VZN na čiastočnú úhradu nákladov na nákup potravín je  zákonný zástupca dieťaťa a aj cudzí stravník povinný uhradiť do pokladne školskej jedálne v Belej.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Príspevok stanovený v § 2 ods. 1 zákonný zástupca dieťaťa uhrádza vždy vopred do 10. dňa v kalendárnom mesiaci.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Na základe oznámenia príslušného úradu práce, sociálnych vecí a rodiny o poskytnutí dotácie je poskytnutá dotácia na stravu pre deti v hmotnej núdzi a pre deti z rodín, ktorých príjem je najviac vo výške životného minima.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Zoznam detí, ktoré majú nárok na dotáciu oznamuje príslušný úrad práce, sociálnych vecí a rodiny pravidelne mesačne.</w:t>
      </w:r>
    </w:p>
    <w:p>
      <w:pPr>
        <w:pStyle w:val="Normal"/>
        <w:ind w:left="735" w:hanging="0"/>
        <w:jc w:val="both"/>
        <w:rPr/>
      </w:pPr>
      <w:r>
        <w:rPr/>
      </w:r>
    </w:p>
    <w:p>
      <w:pPr>
        <w:pStyle w:val="Normal"/>
        <w:ind w:left="360" w:hanging="0"/>
        <w:jc w:val="center"/>
        <w:rPr/>
      </w:pPr>
      <w:r>
        <w:rPr>
          <w:b/>
          <w:sz w:val="28"/>
          <w:szCs w:val="28"/>
        </w:rPr>
        <w:t>§4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Kontrolná činnosť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Kontrolu nad dodržiavaním tohto VZN vykonáva: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starosta obce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hlavný kontrolór.</w:t>
      </w:r>
    </w:p>
    <w:p>
      <w:pPr>
        <w:pStyle w:val="Normal"/>
        <w:ind w:left="1485" w:hanging="0"/>
        <w:rPr/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§5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Zrušovacie ustanovenie</w:t>
      </w:r>
    </w:p>
    <w:p>
      <w:pPr>
        <w:pStyle w:val="Normal"/>
        <w:rPr/>
      </w:pPr>
      <w:r>
        <w:rPr/>
        <w:t xml:space="preserve">  </w:t>
      </w:r>
      <w:r>
        <w:rPr/>
        <w:t>Zrušuje sa:</w:t>
      </w:r>
    </w:p>
    <w:p>
      <w:pPr>
        <w:pStyle w:val="Normal"/>
        <w:numPr>
          <w:ilvl w:val="0"/>
          <w:numId w:val="5"/>
        </w:numPr>
        <w:rPr/>
      </w:pPr>
      <w:r>
        <w:rPr/>
        <w:t>Všeobecne  záväzné  nariadenie  obce  Belá  č. 2/2011  o výške  príspevku na čiastočnú úhradu nákladov a podmienky úhrady v školskej jedálni.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1485" w:hanging="0"/>
        <w:rPr/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§6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Záverečné ustanovenie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Zmeny a doplnky tohto všeobecne záväzného nariadenia schvaľuje Obecné zastupiteľstvo obce Belá.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Toto všeobecne záväzné nariadenie obce Belá bolo schválené uznesením Obecného zastupiteľstva v Belej č. </w:t>
      </w:r>
      <w:r>
        <w:rPr/>
        <w:t>XXIV/239/25102017</w:t>
      </w:r>
      <w:r>
        <w:rPr/>
        <w:t xml:space="preserve"> zo dňa </w:t>
      </w:r>
      <w:r>
        <w:rPr/>
        <w:t>25.10.2017</w:t>
      </w:r>
      <w:r>
        <w:rPr/>
        <w:t>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Všeobecné záväzné nariadenie obce Belá nadobúda účinnosť dňom 01.01.2018.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>
          <w:b/>
          <w:b/>
        </w:rPr>
      </w:pPr>
      <w:r>
        <w:rPr/>
        <w:t xml:space="preserve">                                                                                   </w:t>
      </w:r>
      <w:r>
        <w:rPr>
          <w:b/>
        </w:rPr>
        <w:t xml:space="preserve">           </w:t>
      </w:r>
      <w:r>
        <w:rPr>
          <w:b/>
        </w:rPr>
        <w:t>Ignác Tóth</w:t>
      </w:r>
    </w:p>
    <w:p>
      <w:pPr>
        <w:pStyle w:val="Normal"/>
        <w:ind w:left="360" w:hanging="0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>starosta obce</w:t>
      </w:r>
    </w:p>
    <w:p>
      <w:pPr>
        <w:pStyle w:val="Normal"/>
        <w:ind w:hanging="0"/>
        <w:jc w:val="both"/>
        <w:rPr>
          <w:sz w:val="22"/>
          <w:szCs w:val="22"/>
        </w:rPr>
      </w:pPr>
      <w:r>
        <w:rPr/>
      </w:r>
    </w:p>
    <w:p>
      <w:pPr>
        <w:pStyle w:val="Normal"/>
        <w:ind w:hanging="0"/>
        <w:jc w:val="both"/>
        <w:rPr>
          <w:sz w:val="22"/>
          <w:szCs w:val="22"/>
        </w:rPr>
      </w:pPr>
      <w:r>
        <w:rPr/>
      </w:r>
    </w:p>
    <w:p>
      <w:pPr>
        <w:pStyle w:val="Normal"/>
        <w:ind w:hanging="0"/>
        <w:jc w:val="both"/>
        <w:rPr/>
      </w:pPr>
      <w:r>
        <w:rPr>
          <w:sz w:val="22"/>
          <w:szCs w:val="22"/>
        </w:rPr>
        <w:t>Vyvesené 15 dní pred rokovaním OZ: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Vyvesené: 09.10.2017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Zvesené:   </w:t>
      </w:r>
      <w:r>
        <w:rPr>
          <w:sz w:val="22"/>
          <w:szCs w:val="22"/>
        </w:rPr>
        <w:t>24.10.2017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Po schválení: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Vyvesené: </w:t>
      </w:r>
      <w:r>
        <w:rPr>
          <w:sz w:val="22"/>
          <w:szCs w:val="22"/>
        </w:rPr>
        <w:t>02.11.2017</w:t>
      </w:r>
    </w:p>
    <w:p>
      <w:pPr>
        <w:pStyle w:val="Normal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Zvesené:   ................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lvl w:ilvl="0">
      <w:start w:val="1"/>
      <w:numFmt w:val="decimal"/>
      <w:lvlText w:val="(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502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k-SK" w:eastAsia="sk-SK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Arial"/>
    </w:rPr>
  </w:style>
  <w:style w:type="paragraph" w:styleId="Popis">
    <w:name w:val="P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55026e"/>
    <w:pPr>
      <w:spacing w:after="0" w:line="240" w:lineRule="auto"/>
    </w:pPr>
    <w:rPr>
      <w:lang w:eastAsia="sk-SK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LibreOffice/5.0.2.2$Windows_X86_64 LibreOffice_project/37b43f919e4de5eeaca9b9755ed688758a8251fe</Application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2017-10-11T08:03:00Z</dcterms:created>
  <dc:creator>Edita Hakkeová</dc:creator>
  <dc:language>sk-SK</dc:language>
  <cp:lastPrinted>2017-10-30T11:09:23Z</cp:lastPrinted>
  <dcterms:modified xsi:type="dcterms:W3CDTF">2017-10-30T11:10:12Z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