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aps/>
          <w:lang w:val="sk-SK"/>
        </w:rPr>
      </w:pPr>
      <w:r>
        <w:rPr>
          <w:b/>
          <w:caps/>
          <w:lang w:val="sk-SK"/>
        </w:rPr>
        <w:t xml:space="preserve">Zmluva </w:t>
      </w:r>
      <w:bookmarkStart w:id="0" w:name="_GoBack"/>
      <w:bookmarkEnd w:id="0"/>
      <w:r>
        <w:rPr>
          <w:rFonts w:eastAsia="Calibri" w:cs="Calibri"/>
          <w:b/>
          <w:lang w:val="sk-SK"/>
        </w:rPr>
        <w:t>č. ZO/2018A16126-1</w:t>
      </w:r>
    </w:p>
    <w:p>
      <w:pPr>
        <w:pStyle w:val="Normal"/>
        <w:jc w:val="center"/>
        <w:rPr>
          <w:b/>
          <w:b/>
          <w:lang w:val="sk-SK"/>
        </w:rPr>
      </w:pPr>
      <w:r>
        <w:rPr>
          <w:b/>
          <w:caps/>
          <w:lang w:val="sk-SK"/>
        </w:rPr>
        <w:t>o ZABEZPEČENÍ výkonU ČINNOSTI ZODPOVEDNEJ OSOBY</w:t>
      </w:r>
    </w:p>
    <w:p>
      <w:pPr>
        <w:pStyle w:val="Normal"/>
        <w:jc w:val="center"/>
        <w:rPr>
          <w:lang w:val="sk-SK"/>
        </w:rPr>
      </w:pPr>
      <w:r>
        <w:rPr>
          <w:b/>
          <w:lang w:val="sk-SK"/>
        </w:rPr>
        <w:t>pri ochrane osobných údajov dotknutých osôb spracovávaných u prevádzkovateľa</w:t>
      </w:r>
    </w:p>
    <w:p>
      <w:pPr>
        <w:pStyle w:val="Normal"/>
        <w:jc w:val="center"/>
        <w:rPr>
          <w:lang w:val="sk-SK"/>
        </w:rPr>
      </w:pPr>
      <w:r>
        <w:rPr>
          <w:lang w:val="sk-SK"/>
        </w:rPr>
        <w:t>uzatvorená s poukazom na § 269 ods. 2 zák. č. 513/1991 Zb. v pl. znení (Obchodný zákonník),</w:t>
      </w:r>
    </w:p>
    <w:p>
      <w:pPr>
        <w:pStyle w:val="Normal"/>
        <w:jc w:val="center"/>
        <w:rPr>
          <w:lang w:val="sk-SK"/>
        </w:rPr>
      </w:pPr>
      <w:r>
        <w:rPr>
          <w:lang w:val="sk-SK"/>
        </w:rPr>
        <w:t>NARIADENIE EURÓPSKEHO PARLAMENTU A RADY (EÚ) 2016/679 z 27. apríla 2016 o ochrane fyzických osôb pri spracúvaní osobných údajov a o voľnom pohybe takýchto údajov, ktorým sa zrušuje smernica 95/46/ES (všeobecné nariadenie o ochrane údajov) a</w:t>
      </w:r>
      <w:r>
        <w:rPr/>
        <w:t xml:space="preserve"> </w:t>
      </w:r>
      <w:r>
        <w:rPr>
          <w:lang w:val="sk-SK"/>
        </w:rPr>
        <w:t>zákon č. 18/2018 Z. z. o ochrane osobných údajov a o zmene a doplnení niektorých zákonov</w:t>
      </w:r>
    </w:p>
    <w:p>
      <w:pPr>
        <w:pStyle w:val="Normal"/>
        <w:jc w:val="center"/>
        <w:rPr>
          <w:lang w:val="sk-SK"/>
        </w:rPr>
      </w:pPr>
      <w:r>
        <w:rPr>
          <w:lang w:val="sk-SK"/>
        </w:rPr>
      </w:r>
    </w:p>
    <w:p>
      <w:pPr>
        <w:pStyle w:val="Normal"/>
        <w:jc w:val="center"/>
        <w:rPr>
          <w:lang w:val="sk-SK"/>
        </w:rPr>
      </w:pPr>
      <w:r>
        <w:rPr>
          <w:lang w:val="sk-SK"/>
        </w:rPr>
        <w:t>medzi</w:t>
      </w:r>
    </w:p>
    <w:p>
      <w:pPr>
        <w:pStyle w:val="Normal"/>
        <w:jc w:val="center"/>
        <w:rPr>
          <w:lang w:val="sk-SK"/>
        </w:rPr>
      </w:pPr>
      <w:r>
        <w:rPr>
          <w:lang w:val="sk-SK"/>
        </w:rPr>
      </w:r>
    </w:p>
    <w:p>
      <w:pPr>
        <w:pStyle w:val="Normal"/>
        <w:jc w:val="center"/>
        <w:rPr>
          <w:lang w:val="sk-SK"/>
        </w:rPr>
      </w:pPr>
      <w:r>
        <w:rPr>
          <w:lang w:val="sk-SK"/>
        </w:rPr>
      </w:r>
    </w:p>
    <w:p>
      <w:pPr>
        <w:pStyle w:val="Normal"/>
        <w:jc w:val="center"/>
        <w:rPr>
          <w:b/>
          <w:b/>
          <w:lang w:val="sk-SK"/>
        </w:rPr>
      </w:pPr>
      <w:r>
        <w:rPr>
          <w:b/>
          <w:lang w:val="sk-SK"/>
        </w:rPr>
        <w:t>čl. I.</w:t>
      </w:r>
    </w:p>
    <w:p>
      <w:pPr>
        <w:pStyle w:val="Normal"/>
        <w:jc w:val="center"/>
        <w:rPr>
          <w:b/>
          <w:b/>
          <w:lang w:val="sk-SK"/>
        </w:rPr>
      </w:pPr>
      <w:r>
        <w:rPr>
          <w:b/>
          <w:lang w:val="sk-SK"/>
        </w:rPr>
        <w:t>Zmluvné strany</w:t>
      </w:r>
    </w:p>
    <w:p>
      <w:pPr>
        <w:pStyle w:val="Normal"/>
        <w:jc w:val="center"/>
        <w:rPr>
          <w:b/>
          <w:b/>
          <w:lang w:val="sk-SK"/>
        </w:rPr>
      </w:pPr>
      <w:r>
        <w:rPr>
          <w:b/>
          <w:lang w:val="sk-SK"/>
        </w:rPr>
      </w:r>
    </w:p>
    <w:p>
      <w:pPr>
        <w:pStyle w:val="Normal"/>
        <w:jc w:val="center"/>
        <w:rPr>
          <w:b/>
          <w:b/>
          <w:lang w:val="sk-SK"/>
        </w:rPr>
      </w:pPr>
      <w:r>
        <w:rPr>
          <w:b/>
          <w:lang w:val="sk-SK"/>
        </w:rPr>
      </w:r>
    </w:p>
    <w:p>
      <w:pPr>
        <w:pStyle w:val="Normal"/>
        <w:tabs>
          <w:tab w:val="left" w:pos="1843" w:leader="none"/>
        </w:tabs>
        <w:rPr>
          <w:rFonts w:eastAsia="Calibri" w:cs="Calibri"/>
          <w:lang w:val="sk-SK"/>
        </w:rPr>
      </w:pPr>
      <w:r>
        <w:rPr>
          <w:rFonts w:eastAsia="Calibri" w:cs="Calibri"/>
          <w:b/>
          <w:lang w:val="sk-SK"/>
        </w:rPr>
        <w:t>1.1.</w:t>
      </w:r>
      <w:r>
        <w:rPr>
          <w:rFonts w:eastAsia="Calibri" w:cs="Calibri"/>
          <w:lang w:val="sk-SK"/>
        </w:rPr>
        <w:t xml:space="preserve"> </w:t>
      </w:r>
      <w:r>
        <w:rPr>
          <w:rFonts w:eastAsia="Calibri" w:cs="Calibri"/>
          <w:b/>
          <w:lang w:val="sk-SK"/>
        </w:rPr>
        <w:t xml:space="preserve">Poskytovateľ </w:t>
      </w:r>
      <w:r>
        <w:rPr>
          <w:rFonts w:eastAsia="Calibri" w:cs="Calibri"/>
          <w:lang w:val="sk-SK"/>
        </w:rPr>
        <w:tab/>
        <w:tab/>
        <w:t>Obchodné meno:</w:t>
        <w:tab/>
        <w:tab/>
      </w:r>
      <w:r>
        <w:rPr>
          <w:rFonts w:eastAsia="Calibri" w:cs="Calibri"/>
          <w:b/>
          <w:lang w:val="sk-SK"/>
        </w:rPr>
        <w:t>osobnyudaj.sk, s.r.o.</w:t>
      </w:r>
    </w:p>
    <w:p>
      <w:pPr>
        <w:pStyle w:val="Normal"/>
        <w:tabs>
          <w:tab w:val="left" w:pos="1843" w:leader="none"/>
        </w:tabs>
        <w:rPr>
          <w:rFonts w:eastAsia="Calibri" w:cs="Calibri"/>
          <w:lang w:val="sk-SK"/>
        </w:rPr>
      </w:pPr>
      <w:r>
        <w:rPr>
          <w:rFonts w:eastAsia="Calibri" w:cs="Calibri"/>
          <w:lang w:val="sk-SK"/>
        </w:rPr>
        <w:tab/>
        <w:tab/>
        <w:t>Sídlo:</w:t>
        <w:tab/>
        <w:tab/>
        <w:tab/>
        <w:t>Garbiarska 5, Košice PSČ: 040 01 Košice</w:t>
      </w:r>
    </w:p>
    <w:p>
      <w:pPr>
        <w:pStyle w:val="Normal"/>
        <w:tabs>
          <w:tab w:val="left" w:pos="1843" w:leader="none"/>
        </w:tabs>
        <w:ind w:left="2124" w:hanging="0"/>
        <w:rPr>
          <w:rFonts w:eastAsia="Calibri" w:cs="Calibri"/>
          <w:lang w:val="sk-SK"/>
        </w:rPr>
      </w:pPr>
      <w:r>
        <w:rPr>
          <w:rFonts w:eastAsia="Calibri" w:cs="Calibri"/>
          <w:lang w:val="sk-SK"/>
        </w:rPr>
        <w:t>Konajúci:</w:t>
        <w:tab/>
        <w:tab/>
        <w:t>Mgr. Tatiana Dopiráková, konateľ</w:t>
      </w:r>
    </w:p>
    <w:p>
      <w:pPr>
        <w:pStyle w:val="Normal"/>
        <w:tabs>
          <w:tab w:val="left" w:pos="1843" w:leader="none"/>
        </w:tabs>
        <w:ind w:left="2124" w:hanging="0"/>
        <w:rPr>
          <w:rFonts w:eastAsia="Calibri" w:cs="Calibri"/>
          <w:lang w:val="sk-SK"/>
        </w:rPr>
      </w:pPr>
      <w:r>
        <w:rPr>
          <w:rFonts w:eastAsia="Calibri" w:cs="Calibri"/>
          <w:lang w:val="sk-SK"/>
        </w:rPr>
        <w:t>IČO:</w:t>
        <w:tab/>
        <w:tab/>
        <w:tab/>
        <w:t>50528041</w:t>
      </w:r>
    </w:p>
    <w:p>
      <w:pPr>
        <w:pStyle w:val="Normal"/>
        <w:tabs>
          <w:tab w:val="left" w:pos="1843" w:leader="none"/>
        </w:tabs>
        <w:ind w:left="2124" w:hanging="0"/>
        <w:rPr>
          <w:rFonts w:eastAsia="Calibri" w:cs="Calibri"/>
          <w:lang w:val="sk-SK"/>
        </w:rPr>
      </w:pPr>
      <w:r>
        <w:rPr>
          <w:rFonts w:eastAsia="Calibri" w:cs="Calibri"/>
          <w:lang w:val="sk-SK"/>
        </w:rPr>
        <w:t>Zápis:</w:t>
        <w:tab/>
        <w:tab/>
        <w:tab/>
        <w:t xml:space="preserve">Obchodný register Okresného súdu Košice I, </w:t>
      </w:r>
    </w:p>
    <w:p>
      <w:pPr>
        <w:pStyle w:val="Normal"/>
        <w:tabs>
          <w:tab w:val="left" w:pos="1843" w:leader="none"/>
        </w:tabs>
        <w:ind w:left="2124" w:hanging="0"/>
        <w:rPr>
          <w:rFonts w:eastAsia="Calibri" w:cs="Calibri"/>
          <w:lang w:val="sk-SK"/>
        </w:rPr>
      </w:pPr>
      <w:r>
        <w:rPr>
          <w:rFonts w:eastAsia="Calibri" w:cs="Calibri"/>
          <w:lang w:val="sk-SK"/>
        </w:rPr>
        <w:tab/>
        <w:tab/>
        <w:tab/>
        <w:t>Vložka: 41065/V, Oddiel: Sro</w:t>
      </w:r>
    </w:p>
    <w:p>
      <w:pPr>
        <w:pStyle w:val="Normal"/>
        <w:tabs>
          <w:tab w:val="left" w:pos="2127" w:leader="none"/>
        </w:tabs>
        <w:rPr>
          <w:highlight w:val="white"/>
          <w:lang w:val="sk-SK"/>
        </w:rPr>
      </w:pPr>
      <w:r>
        <w:rPr>
          <w:rFonts w:eastAsia="Calibri" w:cs="Calibri"/>
          <w:lang w:val="sk-SK"/>
        </w:rPr>
        <w:tab/>
        <w:t xml:space="preserve">DIČ : </w:t>
        <w:tab/>
        <w:tab/>
        <w:tab/>
      </w:r>
      <w:r>
        <w:rPr>
          <w:shd w:fill="FFFFFF" w:val="clear"/>
          <w:lang w:val="sk-SK"/>
        </w:rPr>
        <w:t>2120357041</w:t>
      </w:r>
    </w:p>
    <w:p>
      <w:pPr>
        <w:pStyle w:val="Normal"/>
        <w:tabs>
          <w:tab w:val="left" w:pos="2127" w:leader="none"/>
        </w:tabs>
        <w:rPr>
          <w:rFonts w:eastAsia="Calibri" w:cs="Calibri"/>
          <w:lang w:val="sk-SK"/>
        </w:rPr>
      </w:pPr>
      <w:r>
        <w:rPr>
          <w:shd w:fill="FFFFFF" w:val="clear"/>
          <w:lang w:val="sk-SK"/>
        </w:rPr>
        <w:tab/>
        <w:t xml:space="preserve">IČ DPH: </w:t>
        <w:tab/>
        <w:tab/>
        <w:t>SK2120357041</w:t>
      </w:r>
    </w:p>
    <w:p>
      <w:pPr>
        <w:pStyle w:val="Normal"/>
        <w:tabs>
          <w:tab w:val="left" w:pos="1843" w:leader="none"/>
        </w:tabs>
        <w:ind w:left="2124" w:hanging="0"/>
        <w:rPr>
          <w:rFonts w:eastAsia="Calibri" w:cs="Calibri"/>
          <w:lang w:val="sk-SK"/>
        </w:rPr>
      </w:pPr>
      <w:r>
        <w:rPr>
          <w:rFonts w:eastAsia="Calibri" w:cs="Calibri"/>
          <w:lang w:val="sk-SK"/>
        </w:rPr>
        <w:t xml:space="preserve">Bankové spojenie :  </w:t>
        <w:tab/>
        <w:t>Tatra banka, a.s.</w:t>
      </w:r>
    </w:p>
    <w:p>
      <w:pPr>
        <w:pStyle w:val="Normal"/>
        <w:tabs>
          <w:tab w:val="left" w:pos="1843" w:leader="none"/>
        </w:tabs>
        <w:ind w:left="2124" w:hanging="0"/>
        <w:rPr>
          <w:rFonts w:eastAsia="Calibri" w:cs="Calibri"/>
          <w:lang w:val="sk-SK"/>
        </w:rPr>
      </w:pPr>
      <w:r>
        <w:rPr>
          <w:rFonts w:eastAsia="Calibri" w:cs="Calibri"/>
          <w:lang w:val="sk-SK"/>
        </w:rPr>
        <w:t>IBAN:</w:t>
        <w:tab/>
        <w:tab/>
        <w:tab/>
      </w:r>
      <w:r>
        <w:rPr>
          <w:lang w:val="sk-SK"/>
        </w:rPr>
        <w:t>SK05 1100 0000 0029 4103 4594</w:t>
      </w:r>
    </w:p>
    <w:p>
      <w:pPr>
        <w:pStyle w:val="Normal"/>
        <w:tabs>
          <w:tab w:val="left" w:pos="1843" w:leader="none"/>
        </w:tabs>
        <w:ind w:left="2124" w:hanging="0"/>
        <w:rPr>
          <w:rFonts w:eastAsia="Calibri" w:cs="Calibri"/>
          <w:lang w:val="sk-SK"/>
        </w:rPr>
      </w:pPr>
      <w:r>
        <w:rPr>
          <w:rFonts w:eastAsia="Calibri" w:cs="Calibri"/>
          <w:lang w:val="sk-SK"/>
        </w:rPr>
        <w:t xml:space="preserve">Emailové spojenie: </w:t>
        <w:tab/>
        <w:t>info@osobnyudaj.sk</w:t>
      </w:r>
    </w:p>
    <w:p>
      <w:pPr>
        <w:pStyle w:val="Normal"/>
        <w:tabs>
          <w:tab w:val="left" w:pos="1843" w:leader="none"/>
        </w:tabs>
        <w:rPr>
          <w:rFonts w:eastAsia="Calibri" w:cs="Calibri"/>
          <w:lang w:val="sk-SK"/>
        </w:rPr>
      </w:pPr>
      <w:r>
        <w:rPr>
          <w:rFonts w:eastAsia="Calibri" w:cs="Calibri"/>
          <w:lang w:val="sk-SK"/>
        </w:rPr>
        <w:tab/>
        <w:tab/>
        <w:t xml:space="preserve">Telefonický kontakt:   </w:t>
        <w:tab/>
        <w:t>02 / 800 800 80</w:t>
      </w:r>
    </w:p>
    <w:p>
      <w:pPr>
        <w:pStyle w:val="Normal"/>
        <w:rPr>
          <w:rFonts w:eastAsia="Calibri" w:cs="Calibri"/>
          <w:lang w:val="sk-SK"/>
        </w:rPr>
      </w:pPr>
      <w:r>
        <w:rPr>
          <w:rFonts w:eastAsia="Calibri" w:cs="Calibri"/>
          <w:lang w:val="sk-SK"/>
        </w:rPr>
        <w:tab/>
        <w:tab/>
        <w:tab/>
        <w:t xml:space="preserve">(ďalej len „ </w:t>
      </w:r>
      <w:r>
        <w:rPr>
          <w:rFonts w:eastAsia="Calibri" w:cs="Calibri"/>
          <w:b/>
          <w:lang w:val="sk-SK"/>
        </w:rPr>
        <w:t>poskytovateľ</w:t>
      </w:r>
      <w:r>
        <w:rPr>
          <w:rFonts w:eastAsia="Calibri" w:cs="Calibri"/>
          <w:lang w:val="sk-SK"/>
        </w:rPr>
        <w:t>“)</w:t>
      </w:r>
    </w:p>
    <w:p>
      <w:pPr>
        <w:pStyle w:val="Normal"/>
        <w:rPr>
          <w:rFonts w:eastAsia="Calibri" w:cs="Calibri"/>
          <w:lang w:val="sk-SK"/>
        </w:rPr>
      </w:pPr>
      <w:r>
        <w:rPr>
          <w:rFonts w:eastAsia="Calibri" w:cs="Calibri"/>
          <w:lang w:val="sk-SK"/>
        </w:rPr>
      </w:r>
    </w:p>
    <w:p>
      <w:pPr>
        <w:pStyle w:val="Normal"/>
        <w:rPr>
          <w:b/>
          <w:b/>
          <w:lang w:val="sk-SK"/>
        </w:rPr>
      </w:pPr>
      <w:r>
        <w:rPr>
          <w:b/>
          <w:lang w:val="sk-SK"/>
        </w:rPr>
      </w:r>
    </w:p>
    <w:p>
      <w:pPr>
        <w:pStyle w:val="Normal"/>
        <w:tabs>
          <w:tab w:val="left" w:pos="1843" w:leader="none"/>
        </w:tabs>
        <w:rPr>
          <w:rFonts w:eastAsia="Calibri" w:cs="Calibri"/>
          <w:lang w:val="sk-SK"/>
        </w:rPr>
      </w:pPr>
      <w:r>
        <w:rPr>
          <w:b/>
          <w:lang w:val="sk-SK"/>
        </w:rPr>
        <w:t xml:space="preserve">1.2 Prevádzkovateľ: </w:t>
        <w:tab/>
        <w:t xml:space="preserve"> </w:t>
        <w:tab/>
      </w:r>
      <w:r>
        <w:rPr>
          <w:rFonts w:eastAsia="Calibri" w:cs="Calibri"/>
          <w:lang w:val="sk-SK"/>
        </w:rPr>
        <w:t>Názov:</w:t>
        <w:tab/>
        <w:tab/>
        <w:tab/>
      </w:r>
      <w:r>
        <w:rPr>
          <w:rFonts w:eastAsia="Calibri" w:cs="Calibri"/>
          <w:b/>
          <w:lang w:val="sk-SK"/>
        </w:rPr>
        <w:t>Obec Belá</w:t>
      </w:r>
    </w:p>
    <w:p>
      <w:pPr>
        <w:pStyle w:val="Normal"/>
        <w:tabs>
          <w:tab w:val="left" w:pos="1843" w:leader="none"/>
        </w:tabs>
        <w:rPr>
          <w:rFonts w:eastAsia="Calibri" w:cs="Calibri"/>
          <w:lang w:val="sk-SK"/>
        </w:rPr>
      </w:pPr>
      <w:r>
        <w:rPr>
          <w:rFonts w:eastAsia="Calibri" w:cs="Calibri"/>
          <w:lang w:val="sk-SK"/>
        </w:rPr>
        <w:tab/>
        <w:tab/>
        <w:t>Sídlo:</w:t>
        <w:tab/>
        <w:tab/>
        <w:tab/>
        <w:t>Belá 32, Belá, PSČ: 94353</w:t>
      </w:r>
    </w:p>
    <w:p>
      <w:pPr>
        <w:pStyle w:val="Normal"/>
        <w:tabs>
          <w:tab w:val="left" w:pos="1843" w:leader="none"/>
        </w:tabs>
        <w:ind w:left="2124" w:hanging="0"/>
        <w:rPr/>
      </w:pPr>
      <w:r>
        <w:rPr>
          <w:rFonts w:eastAsia="Calibri" w:cs="Calibri"/>
          <w:lang w:val="sk-SK"/>
        </w:rPr>
        <w:t>Konajúci:</w:t>
        <w:tab/>
        <w:tab/>
      </w:r>
      <w:r>
        <w:rPr>
          <w:rFonts w:eastAsia="Calibri" w:cs="Calibri"/>
          <w:color w:val="000000"/>
          <w:u w:val="none"/>
          <w:lang w:val="sk-SK"/>
        </w:rPr>
        <w:t>Ignác Tóth, starosta obce</w:t>
      </w:r>
    </w:p>
    <w:p>
      <w:pPr>
        <w:pStyle w:val="Normal"/>
        <w:tabs>
          <w:tab w:val="left" w:pos="1843" w:leader="none"/>
        </w:tabs>
        <w:ind w:left="2124" w:hanging="0"/>
        <w:rPr>
          <w:rFonts w:eastAsia="Calibri" w:cs="Calibri"/>
          <w:lang w:val="sk-SK"/>
        </w:rPr>
      </w:pPr>
      <w:r>
        <w:rPr>
          <w:rFonts w:eastAsia="Calibri" w:cs="Calibri"/>
          <w:lang w:val="sk-SK"/>
        </w:rPr>
        <w:t>IČO:</w:t>
        <w:tab/>
        <w:tab/>
        <w:tab/>
        <w:t>00308781</w:t>
      </w:r>
    </w:p>
    <w:p>
      <w:pPr>
        <w:pStyle w:val="Normal"/>
        <w:tabs>
          <w:tab w:val="left" w:pos="1843" w:leader="none"/>
        </w:tabs>
        <w:ind w:left="2124" w:hanging="0"/>
        <w:rPr/>
      </w:pPr>
      <w:r>
        <w:rPr>
          <w:rFonts w:eastAsia="Calibri" w:cs="Calibri"/>
          <w:lang w:val="sk-SK"/>
        </w:rPr>
        <w:t xml:space="preserve">DIČ : </w:t>
        <w:tab/>
        <w:tab/>
        <w:tab/>
        <w:t>2021060503</w:t>
      </w:r>
    </w:p>
    <w:p>
      <w:pPr>
        <w:pStyle w:val="Normal"/>
        <w:tabs>
          <w:tab w:val="left" w:pos="1843" w:leader="none"/>
        </w:tabs>
        <w:ind w:left="2124" w:hanging="0"/>
        <w:rPr>
          <w:rFonts w:eastAsia="Calibri" w:cs="Calibri"/>
          <w:lang w:val="sk-SK"/>
        </w:rPr>
      </w:pPr>
      <w:r>
        <w:rPr>
          <w:rFonts w:eastAsia="Calibri" w:cs="Calibri"/>
          <w:lang w:val="sk-SK"/>
        </w:rPr>
        <w:t xml:space="preserve">Kontaktná osoba: </w:t>
        <w:tab/>
        <w:t>Ignác Tóth</w:t>
      </w:r>
    </w:p>
    <w:p>
      <w:pPr>
        <w:pStyle w:val="Normal"/>
        <w:tabs>
          <w:tab w:val="left" w:pos="1843" w:leader="none"/>
        </w:tabs>
        <w:ind w:left="2124" w:hanging="0"/>
        <w:rPr>
          <w:rFonts w:eastAsia="Calibri" w:cs="Calibri"/>
          <w:lang w:val="sk-SK"/>
        </w:rPr>
      </w:pPr>
      <w:r>
        <w:rPr>
          <w:rFonts w:eastAsia="Calibri" w:cs="Calibri"/>
          <w:lang w:val="sk-SK"/>
        </w:rPr>
        <w:t xml:space="preserve">Emailové spojenie: </w:t>
        <w:tab/>
        <w:t>oubela@mail.viapvt.sk</w:t>
      </w:r>
    </w:p>
    <w:p>
      <w:pPr>
        <w:pStyle w:val="Normal"/>
        <w:tabs>
          <w:tab w:val="left" w:pos="1843" w:leader="none"/>
        </w:tabs>
        <w:rPr>
          <w:rFonts w:eastAsia="Calibri" w:cs="Calibri"/>
          <w:lang w:val="sk-SK"/>
        </w:rPr>
      </w:pPr>
      <w:r>
        <w:rPr>
          <w:rFonts w:eastAsia="Calibri" w:cs="Calibri"/>
          <w:lang w:val="sk-SK"/>
        </w:rPr>
        <w:tab/>
        <w:tab/>
        <w:t xml:space="preserve">Telefonický kontakt:   </w:t>
        <w:tab/>
        <w:t>0917 323 961</w:t>
      </w:r>
    </w:p>
    <w:p>
      <w:pPr>
        <w:pStyle w:val="Normal"/>
        <w:tabs>
          <w:tab w:val="left" w:pos="1843" w:leader="none"/>
        </w:tabs>
        <w:rPr>
          <w:lang w:val="sk-SK"/>
        </w:rPr>
      </w:pPr>
      <w:r>
        <w:rPr>
          <w:rFonts w:eastAsia="Calibri" w:cs="Calibri"/>
          <w:lang w:val="sk-SK"/>
        </w:rPr>
        <w:tab/>
        <w:tab/>
        <w:t>(ďalej len „</w:t>
      </w:r>
      <w:r>
        <w:rPr>
          <w:rFonts w:eastAsia="Calibri" w:cs="Calibri"/>
          <w:b/>
          <w:lang w:val="sk-SK"/>
        </w:rPr>
        <w:t xml:space="preserve"> prevádzkovateľ</w:t>
      </w:r>
      <w:r>
        <w:rPr>
          <w:rFonts w:eastAsia="Calibri" w:cs="Calibri"/>
          <w:lang w:val="sk-SK"/>
        </w:rPr>
        <w:t>“)</w:t>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center"/>
        <w:rPr>
          <w:b/>
          <w:b/>
          <w:lang w:val="sk-SK"/>
        </w:rPr>
      </w:pPr>
      <w:r>
        <w:rPr>
          <w:b/>
          <w:lang w:val="sk-SK"/>
        </w:rPr>
        <w:t>čl. II.</w:t>
      </w:r>
    </w:p>
    <w:p>
      <w:pPr>
        <w:pStyle w:val="Normal"/>
        <w:jc w:val="center"/>
        <w:rPr>
          <w:b/>
          <w:b/>
          <w:lang w:val="sk-SK"/>
        </w:rPr>
      </w:pPr>
      <w:r>
        <w:rPr>
          <w:b/>
          <w:lang w:val="sk-SK"/>
        </w:rPr>
        <w:t>Úvodné ustanovenia</w:t>
      </w:r>
    </w:p>
    <w:p>
      <w:pPr>
        <w:pStyle w:val="Normal"/>
        <w:jc w:val="center"/>
        <w:rPr>
          <w:b/>
          <w:b/>
          <w:lang w:val="sk-SK"/>
        </w:rPr>
      </w:pPr>
      <w:r>
        <w:rPr>
          <w:b/>
          <w:lang w:val="sk-SK"/>
        </w:rPr>
      </w:r>
    </w:p>
    <w:p>
      <w:pPr>
        <w:pStyle w:val="Normal"/>
        <w:numPr>
          <w:ilvl w:val="1"/>
          <w:numId w:val="2"/>
        </w:numPr>
        <w:tabs>
          <w:tab w:val="left" w:pos="426" w:leader="none"/>
        </w:tabs>
        <w:ind w:left="426" w:hanging="426"/>
        <w:jc w:val="both"/>
        <w:rPr>
          <w:lang w:val="sk-SK"/>
        </w:rPr>
      </w:pPr>
      <w:r>
        <w:rPr>
          <w:lang w:val="sk-SK"/>
        </w:rPr>
        <w:t>Ak v zmluve výslovne nie je uvedené inak, rozumie sa pod pojmom:</w:t>
      </w:r>
    </w:p>
    <w:p>
      <w:pPr>
        <w:pStyle w:val="Normal"/>
        <w:tabs>
          <w:tab w:val="left" w:pos="426" w:leader="none"/>
        </w:tabs>
        <w:ind w:left="426" w:hanging="426"/>
        <w:jc w:val="both"/>
        <w:rPr>
          <w:lang w:val="sk-SK"/>
        </w:rPr>
      </w:pPr>
      <w:r>
        <w:rPr>
          <w:lang w:val="sk-SK"/>
        </w:rPr>
      </w:r>
    </w:p>
    <w:p>
      <w:pPr>
        <w:pStyle w:val="Normal"/>
        <w:numPr>
          <w:ilvl w:val="2"/>
          <w:numId w:val="2"/>
        </w:numPr>
        <w:tabs>
          <w:tab w:val="left" w:pos="709" w:leader="none"/>
        </w:tabs>
        <w:ind w:left="709" w:hanging="709"/>
        <w:jc w:val="both"/>
        <w:rPr>
          <w:b/>
          <w:b/>
          <w:lang w:val="sk-SK"/>
        </w:rPr>
      </w:pPr>
      <w:r>
        <w:rPr>
          <w:b/>
          <w:lang w:val="sk-SK"/>
        </w:rPr>
        <w:t xml:space="preserve">dotknutá osoba: </w:t>
      </w:r>
      <w:r>
        <w:rPr>
          <w:lang w:val="sk-SK"/>
        </w:rPr>
        <w:t>akákoľvek fyzická osoba, ktorej osobné údaje sa spracúvajú.</w:t>
      </w:r>
    </w:p>
    <w:p>
      <w:pPr>
        <w:pStyle w:val="Normal"/>
        <w:numPr>
          <w:ilvl w:val="2"/>
          <w:numId w:val="2"/>
        </w:numPr>
        <w:tabs>
          <w:tab w:val="left" w:pos="709" w:leader="none"/>
        </w:tabs>
        <w:ind w:left="709" w:hanging="709"/>
        <w:jc w:val="both"/>
        <w:rPr>
          <w:b/>
          <w:b/>
          <w:lang w:val="sk-SK"/>
        </w:rPr>
      </w:pPr>
      <w:r>
        <w:rPr>
          <w:b/>
          <w:lang w:val="sk-SK"/>
        </w:rPr>
        <w:t>kontrolný orgán:</w:t>
      </w:r>
      <w:r>
        <w:rPr>
          <w:lang w:val="sk-SK"/>
        </w:rPr>
        <w:t xml:space="preserve"> vrchný inšpektor úradu, inšpektor úradu a zamestnanci úradu, ktorí sú členmi kontrolného orgánu.</w:t>
      </w:r>
    </w:p>
    <w:p>
      <w:pPr>
        <w:pStyle w:val="Normal"/>
        <w:numPr>
          <w:ilvl w:val="2"/>
          <w:numId w:val="2"/>
        </w:numPr>
        <w:tabs>
          <w:tab w:val="left" w:pos="709" w:leader="none"/>
        </w:tabs>
        <w:ind w:left="709" w:hanging="709"/>
        <w:jc w:val="both"/>
        <w:rPr>
          <w:b/>
          <w:b/>
          <w:lang w:val="sk-SK"/>
        </w:rPr>
      </w:pPr>
      <w:r>
        <w:rPr>
          <w:b/>
          <w:lang w:val="sk-SK"/>
        </w:rPr>
        <w:t xml:space="preserve">osobný údaj:  </w:t>
      </w:r>
      <w:r>
        <w:rPr>
          <w:lang w:val="sk-SK"/>
        </w:rPr>
        <w:t>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pPr>
        <w:pStyle w:val="Normal"/>
        <w:numPr>
          <w:ilvl w:val="2"/>
          <w:numId w:val="2"/>
        </w:numPr>
        <w:tabs>
          <w:tab w:val="left" w:pos="709" w:leader="none"/>
        </w:tabs>
        <w:ind w:left="709" w:hanging="709"/>
        <w:jc w:val="both"/>
        <w:rPr>
          <w:b/>
          <w:b/>
          <w:lang w:val="sk-SK"/>
        </w:rPr>
      </w:pPr>
      <w:r>
        <w:rPr>
          <w:b/>
          <w:lang w:val="sk-SK"/>
        </w:rPr>
        <w:t>úrad:</w:t>
      </w:r>
      <w:r>
        <w:rPr>
          <w:lang w:val="sk-SK"/>
        </w:rPr>
        <w:t xml:space="preserve"> Úrad na ochranu osobných údajov Slovenskej republiky. </w:t>
      </w:r>
    </w:p>
    <w:p>
      <w:pPr>
        <w:pStyle w:val="Normal"/>
        <w:numPr>
          <w:ilvl w:val="2"/>
          <w:numId w:val="2"/>
        </w:numPr>
        <w:tabs>
          <w:tab w:val="left" w:pos="709" w:leader="none"/>
        </w:tabs>
        <w:ind w:left="709" w:hanging="709"/>
        <w:jc w:val="both"/>
        <w:rPr>
          <w:b/>
          <w:b/>
          <w:lang w:val="sk-SK"/>
        </w:rPr>
      </w:pPr>
      <w:r>
        <w:rPr>
          <w:b/>
          <w:lang w:val="sk-SK"/>
        </w:rPr>
        <w:t>zákon:</w:t>
      </w:r>
      <w:r>
        <w:rPr>
          <w:lang w:val="sk-SK"/>
        </w:rPr>
        <w:t xml:space="preserve">  zákon č. 18/2018 Z. z. o ochrane osobných údajov a o zmene a doplnení niektorých zákonov.</w:t>
      </w:r>
    </w:p>
    <w:p>
      <w:pPr>
        <w:pStyle w:val="Normal"/>
        <w:numPr>
          <w:ilvl w:val="2"/>
          <w:numId w:val="2"/>
        </w:numPr>
        <w:tabs>
          <w:tab w:val="left" w:pos="709" w:leader="none"/>
        </w:tabs>
        <w:ind w:left="709" w:hanging="709"/>
        <w:jc w:val="both"/>
        <w:rPr>
          <w:lang w:val="sk-SK"/>
        </w:rPr>
      </w:pPr>
      <w:r>
        <w:rPr>
          <w:b/>
          <w:lang w:val="sk-SK"/>
        </w:rPr>
        <w:t>zodpovedná osoba:</w:t>
      </w:r>
      <w:r>
        <w:rPr>
          <w:lang w:val="sk-SK"/>
        </w:rPr>
        <w:t xml:space="preserve"> jedna, alebo viac osôb, z ktorých každá bola určená a poverená  poskytovateľom, aby u prevádzkovateľa dozerala na dodržiavanie zákonných ustanovení pri spracúvaní osobných údajov v zmysle právnych predpisov. Pokiaľ zmluva upravuje konanie a/alebo povinnosti, za ktoré zodpovedá zodpovedná osoba, resp. viaceré zodpovedné osoby, a zo znenia konkrétneho bodu zmluvy nevyplýva inak, má to pre účel zodpovednostných vzťahov zmluvných strán v zmysle tejto zmluvy ten význam, ako by za uvedené konanie a/alebo splnenie uvedenej povinnosti zodpovedala zmluvná strana – t. j. poskytovateľ. Osobitné dohody medzi poskytovateľom a samotnou zodpovednou osobou nie sú tým nijako dotknuté.</w:t>
      </w:r>
    </w:p>
    <w:p>
      <w:pPr>
        <w:pStyle w:val="Normal"/>
        <w:numPr>
          <w:ilvl w:val="2"/>
          <w:numId w:val="2"/>
        </w:numPr>
        <w:tabs>
          <w:tab w:val="left" w:pos="709" w:leader="none"/>
        </w:tabs>
        <w:ind w:left="709" w:hanging="709"/>
        <w:jc w:val="both"/>
        <w:rPr>
          <w:lang w:val="sk-SK"/>
        </w:rPr>
      </w:pPr>
      <w:r>
        <w:rPr>
          <w:b/>
          <w:lang w:val="sk-SK"/>
        </w:rPr>
        <w:t xml:space="preserve">Nariadenie GDPR </w:t>
      </w:r>
      <w:r>
        <w:rPr>
          <w:lang w:val="sk-SK"/>
        </w:rPr>
        <w:t xml:space="preserve">: </w:t>
      </w:r>
      <w:bookmarkStart w:id="1" w:name="_Hlk514606715"/>
      <w:r>
        <w:rPr>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w:t>
      </w:r>
      <w:bookmarkEnd w:id="1"/>
      <w:r>
        <w:rPr>
          <w:lang w:val="sk-SK"/>
        </w:rPr>
        <w:t>účinné od 25.05.2018.</w:t>
      </w:r>
    </w:p>
    <w:p>
      <w:pPr>
        <w:pStyle w:val="Normal"/>
        <w:tabs>
          <w:tab w:val="left" w:pos="709" w:leader="none"/>
        </w:tabs>
        <w:ind w:left="720" w:hanging="720"/>
        <w:jc w:val="both"/>
        <w:rPr>
          <w:lang w:val="sk-SK"/>
        </w:rPr>
      </w:pPr>
      <w:r>
        <w:rPr>
          <w:lang w:val="sk-SK"/>
        </w:rPr>
      </w:r>
    </w:p>
    <w:p>
      <w:pPr>
        <w:pStyle w:val="Normal"/>
        <w:numPr>
          <w:ilvl w:val="1"/>
          <w:numId w:val="2"/>
        </w:numPr>
        <w:tabs>
          <w:tab w:val="left" w:pos="426" w:leader="none"/>
        </w:tabs>
        <w:ind w:left="426" w:hanging="426"/>
        <w:jc w:val="both"/>
        <w:rPr>
          <w:lang w:val="sk-SK"/>
        </w:rPr>
      </w:pPr>
      <w:r>
        <w:rPr>
          <w:lang w:val="sk-SK"/>
        </w:rPr>
        <w:t>Prevádzkovateľ je subjekt, ktorý vymedzí účel a prostriedky spracúvania osobných údajov a ktorý spracováva osobné údaje dotknutých osôb. Prevádzkovateľ má za nižšie uvedených podmienok zmluvnej spolupráce záujem využívať služby poskytovateľa pri zabezpečení úloh pri nezávislom výkone dohľadu nad ochranou osobných údajov prostredníctvom činnosti zodpovednej osoby.</w:t>
      </w:r>
    </w:p>
    <w:p>
      <w:pPr>
        <w:pStyle w:val="Normal"/>
        <w:numPr>
          <w:ilvl w:val="1"/>
          <w:numId w:val="2"/>
        </w:numPr>
        <w:tabs>
          <w:tab w:val="left" w:pos="426" w:leader="none"/>
        </w:tabs>
        <w:ind w:left="426" w:hanging="426"/>
        <w:jc w:val="both"/>
        <w:rPr>
          <w:lang w:val="sk-SK"/>
        </w:rPr>
      </w:pPr>
      <w:r>
        <w:rPr>
          <w:lang w:val="sk-SK"/>
        </w:rPr>
        <w:t xml:space="preserve">Poskytovateľ ako podnikateľský subjekt prehlasuje, že ním určená zodpovedná osoba spĺňa osobnostné vlastnosti (bezúhonnosť, plná spôsobilosť na právne úkony) a kvalitatívne vlastnosti v zmysle  zákona. </w:t>
      </w:r>
    </w:p>
    <w:p>
      <w:pPr>
        <w:pStyle w:val="Normal"/>
        <w:numPr>
          <w:ilvl w:val="1"/>
          <w:numId w:val="2"/>
        </w:numPr>
        <w:tabs>
          <w:tab w:val="left" w:pos="426" w:leader="none"/>
        </w:tabs>
        <w:ind w:left="426" w:hanging="426"/>
        <w:jc w:val="both"/>
        <w:rPr>
          <w:lang w:val="sk-SK"/>
        </w:rPr>
      </w:pPr>
      <w:r>
        <w:rPr>
          <w:lang w:val="sk-SK"/>
        </w:rPr>
        <w:t xml:space="preserve"> </w:t>
      </w:r>
      <w:r>
        <w:rPr>
          <w:lang w:val="sk-SK"/>
        </w:rPr>
        <w:t>Pre účely tejto zmluvy sa má za to, že zmluvná strana označená ako prevádzkovateľ je prevádzkovateľom v zmysle Nariadenia GDPR a § 5 písm. o) zákona č. 18/2018 Z. z. o ochrane osobných údajov a o zmene a doplnení niektorých zákonov.</w:t>
      </w:r>
    </w:p>
    <w:p>
      <w:pPr>
        <w:pStyle w:val="Normal"/>
        <w:jc w:val="center"/>
        <w:rPr>
          <w:b/>
          <w:b/>
          <w:lang w:val="sk-SK"/>
        </w:rPr>
      </w:pPr>
      <w:r>
        <w:rPr>
          <w:b/>
          <w:lang w:val="sk-SK"/>
        </w:rPr>
      </w:r>
    </w:p>
    <w:p>
      <w:pPr>
        <w:pStyle w:val="Normal"/>
        <w:jc w:val="center"/>
        <w:rPr>
          <w:b/>
          <w:b/>
          <w:lang w:val="sk-SK"/>
        </w:rPr>
      </w:pPr>
      <w:r>
        <w:rPr>
          <w:b/>
          <w:lang w:val="sk-SK"/>
        </w:rPr>
        <w:t>čl. III.</w:t>
      </w:r>
    </w:p>
    <w:p>
      <w:pPr>
        <w:pStyle w:val="Normal"/>
        <w:jc w:val="center"/>
        <w:rPr>
          <w:b/>
          <w:b/>
          <w:lang w:val="sk-SK"/>
        </w:rPr>
      </w:pPr>
      <w:r>
        <w:rPr>
          <w:b/>
          <w:lang w:val="sk-SK"/>
        </w:rPr>
        <w:t>Predmet zmluvy</w:t>
      </w:r>
    </w:p>
    <w:p>
      <w:pPr>
        <w:pStyle w:val="Normal"/>
        <w:jc w:val="center"/>
        <w:rPr>
          <w:b/>
          <w:b/>
          <w:lang w:val="sk-SK"/>
        </w:rPr>
      </w:pPr>
      <w:r>
        <w:rPr>
          <w:b/>
          <w:lang w:val="sk-SK"/>
        </w:rPr>
      </w:r>
    </w:p>
    <w:p>
      <w:pPr>
        <w:pStyle w:val="ListParagraph"/>
        <w:numPr>
          <w:ilvl w:val="1"/>
          <w:numId w:val="10"/>
        </w:numPr>
        <w:tabs>
          <w:tab w:val="left" w:pos="426" w:leader="none"/>
        </w:tabs>
        <w:jc w:val="both"/>
        <w:rPr>
          <w:lang w:val="sk-SK"/>
        </w:rPr>
      </w:pPr>
      <w:r>
        <w:rPr>
          <w:lang w:val="sk-SK"/>
        </w:rPr>
        <w:t xml:space="preserve">Predmetom tejto zmluvy je úprava postupu, práv a povinností zmluvných strán pri výkone činnosti zodpovednej osoby a pri zabezpečení podmienok nezávislého dohľadu nad ochranou osobných údajov zo strany Poskytovateľa ako zodpovednej osoby vrátane určenia rozsahu zodpovednosti, ktorú je možné uplatniť vo vzťahu k poskytovateľovi pri zistení, že dohľad nad ochranou osobných údajov spracovávaných prevádzkovateľom nebol vykonaný riadne. </w:t>
      </w:r>
    </w:p>
    <w:p>
      <w:pPr>
        <w:pStyle w:val="ListParagraph"/>
        <w:tabs>
          <w:tab w:val="left" w:pos="426" w:leader="none"/>
        </w:tabs>
        <w:ind w:left="360" w:hanging="0"/>
        <w:jc w:val="both"/>
        <w:rPr>
          <w:lang w:val="sk-SK"/>
        </w:rPr>
      </w:pPr>
      <w:r>
        <w:rPr>
          <w:lang w:val="sk-SK"/>
        </w:rPr>
      </w:r>
    </w:p>
    <w:p>
      <w:pPr>
        <w:pStyle w:val="ListParagraph"/>
        <w:numPr>
          <w:ilvl w:val="1"/>
          <w:numId w:val="10"/>
        </w:numPr>
        <w:jc w:val="both"/>
        <w:rPr>
          <w:lang w:val="sk-SK"/>
        </w:rPr>
      </w:pPr>
      <w:r>
        <w:rPr>
          <w:lang w:val="sk-SK"/>
        </w:rPr>
        <w:t>Predmetom zmluvy je záväzok poskytovateľa vykonať u prevádzkovateľa bezpečnostný audit informačných a monitorovacích systémov a vypracovať bezpečnostnú dokumentáciu v súlade so zákonom č. 18/2018 Z. z. o ochrane osobných údajov a o zmene a doplnení niektorých zákonov a v súlade s Nariadením GDPR : NARIADENIE EURÓPSKEHO PARLAMENTU A RADY (EÚ) 2016/679 z 27. apríla 2016 o ochrane fyzických osôb pri spracúvaní osobných údajov a o voľnom pohybe takýchto údajov, ktorým sa zrušuje smernica 95/46/ES (všeobecné nariadenie o ochrane údajov).</w:t>
      </w:r>
    </w:p>
    <w:p>
      <w:pPr>
        <w:pStyle w:val="ListParagraph"/>
        <w:tabs>
          <w:tab w:val="left" w:pos="426" w:leader="none"/>
        </w:tabs>
        <w:ind w:left="360" w:hanging="0"/>
        <w:jc w:val="both"/>
        <w:rPr>
          <w:lang w:val="sk-SK"/>
        </w:rPr>
      </w:pPr>
      <w:r>
        <w:rPr>
          <w:lang w:val="sk-SK"/>
        </w:rPr>
      </w:r>
    </w:p>
    <w:p>
      <w:pPr>
        <w:pStyle w:val="Normal"/>
        <w:numPr>
          <w:ilvl w:val="1"/>
          <w:numId w:val="10"/>
        </w:numPr>
        <w:suppressAutoHyphens w:val="false"/>
        <w:jc w:val="both"/>
        <w:rPr>
          <w:rFonts w:cs="Arial"/>
        </w:rPr>
      </w:pPr>
      <w:r>
        <w:rPr>
          <w:lang w:val="sk-SK"/>
        </w:rPr>
        <w:t>Poskytovateľ sa zaväzuje zabezpečiť činnosť výkonu zodpovednej osoby</w:t>
      </w:r>
      <w:r>
        <w:rPr>
          <w:rFonts w:cs="Calibri"/>
          <w:lang w:val="sk-SK"/>
        </w:rPr>
        <w:t xml:space="preserve"> od momentu účinnosti zmluvy v zmysle Nariadenia GDPR a zákona.</w:t>
      </w:r>
    </w:p>
    <w:p>
      <w:pPr>
        <w:pStyle w:val="ListParagraph"/>
        <w:rPr>
          <w:rFonts w:cs="Arial"/>
        </w:rPr>
      </w:pPr>
      <w:r>
        <w:rPr>
          <w:rFonts w:cs="Arial"/>
        </w:rPr>
      </w:r>
    </w:p>
    <w:p>
      <w:pPr>
        <w:pStyle w:val="Normal"/>
        <w:numPr>
          <w:ilvl w:val="1"/>
          <w:numId w:val="10"/>
        </w:numPr>
        <w:suppressAutoHyphens w:val="false"/>
        <w:jc w:val="both"/>
        <w:rPr>
          <w:rFonts w:cs="Arial"/>
          <w:lang w:val="sk-SK"/>
        </w:rPr>
      </w:pPr>
      <w:r>
        <w:rPr>
          <w:rFonts w:cs="Calibri"/>
          <w:lang w:val="sk-SK"/>
        </w:rPr>
        <w:t>Prevádzkovateľ prehlasuje a berie na vedomie uvedený záväzok poskytovateľa zabezpečiť činnosť výkonu zodpovednej osoby v zmysle právnej úpravy, ktorá nadobudne účinnosť 25.05.2018 (Nariadenie GDPR a zákon č. 18/2018 Z. z. o ochrane osobných údajov a o zmene a doplnení niektorých zákonov) a zaväzuje sa v pokračovaní zmluvného vzťahu s poskytovateľom.</w:t>
      </w:r>
    </w:p>
    <w:p>
      <w:pPr>
        <w:pStyle w:val="Normal"/>
        <w:jc w:val="both"/>
        <w:rPr>
          <w:lang w:val="sk-SK"/>
        </w:rPr>
      </w:pPr>
      <w:r>
        <w:rPr>
          <w:lang w:val="sk-SK"/>
        </w:rPr>
      </w:r>
    </w:p>
    <w:p>
      <w:pPr>
        <w:pStyle w:val="Normal"/>
        <w:jc w:val="center"/>
        <w:rPr>
          <w:b/>
          <w:b/>
          <w:lang w:val="sk-SK"/>
        </w:rPr>
      </w:pPr>
      <w:r>
        <w:rPr>
          <w:b/>
          <w:lang w:val="sk-SK"/>
        </w:rPr>
        <w:t>čl. IV.</w:t>
      </w:r>
    </w:p>
    <w:p>
      <w:pPr>
        <w:pStyle w:val="Normal"/>
        <w:jc w:val="center"/>
        <w:rPr>
          <w:b/>
          <w:b/>
          <w:lang w:val="sk-SK"/>
        </w:rPr>
      </w:pPr>
      <w:r>
        <w:rPr>
          <w:b/>
          <w:lang w:val="sk-SK"/>
        </w:rPr>
        <w:t>Určenie zodpovednej osoby</w:t>
      </w:r>
    </w:p>
    <w:p>
      <w:pPr>
        <w:pStyle w:val="Normal"/>
        <w:jc w:val="center"/>
        <w:rPr>
          <w:b/>
          <w:b/>
          <w:lang w:val="sk-SK"/>
        </w:rPr>
      </w:pPr>
      <w:r>
        <w:rPr>
          <w:b/>
          <w:lang w:val="sk-SK"/>
        </w:rPr>
      </w:r>
    </w:p>
    <w:p>
      <w:pPr>
        <w:pStyle w:val="Normal"/>
        <w:ind w:left="426" w:hanging="426"/>
        <w:jc w:val="both"/>
        <w:rPr>
          <w:lang w:val="sk-SK"/>
        </w:rPr>
      </w:pPr>
      <w:r>
        <w:rPr>
          <w:b/>
          <w:lang w:val="sk-SK"/>
        </w:rPr>
        <w:t>4.1.</w:t>
      </w:r>
      <w:r>
        <w:rPr>
          <w:lang w:val="sk-SK"/>
        </w:rPr>
        <w:tab/>
        <w:t>Pre účely plnenia úloh zodpovednej osoby u prevádzkovateľa tak, ako sú tieto povinnosti upravené v Nariadení GDPR a zákone, určuje poskytovateľ nasledovnú osobnostne a odborne spôsobilú fyzickú osobu, ktorá s týmto určením a zverejnením svojich údajov vopred súhlasila, a to:</w:t>
      </w:r>
    </w:p>
    <w:p>
      <w:pPr>
        <w:pStyle w:val="Normal"/>
        <w:ind w:left="426" w:hanging="426"/>
        <w:jc w:val="both"/>
        <w:rPr>
          <w:lang w:val="sk-SK"/>
        </w:rPr>
      </w:pPr>
      <w:r>
        <w:rPr>
          <w:lang w:val="sk-SK"/>
        </w:rPr>
      </w:r>
    </w:p>
    <w:p>
      <w:pPr>
        <w:pStyle w:val="Normal"/>
        <w:ind w:left="426" w:hanging="426"/>
        <w:jc w:val="both"/>
        <w:rPr>
          <w:lang w:val="sk-SK"/>
        </w:rPr>
      </w:pPr>
      <w:r>
        <w:rPr>
          <w:lang w:val="sk-SK"/>
        </w:rPr>
      </w:r>
    </w:p>
    <w:p>
      <w:pPr>
        <w:pStyle w:val="Normal"/>
        <w:tabs>
          <w:tab w:val="left" w:pos="3828" w:leader="none"/>
        </w:tabs>
        <w:ind w:left="852" w:hanging="426"/>
        <w:jc w:val="both"/>
        <w:rPr>
          <w:lang w:val="sk-SK"/>
        </w:rPr>
      </w:pPr>
      <w:r>
        <w:rPr>
          <w:lang w:val="sk-SK"/>
        </w:rPr>
        <w:tab/>
        <w:t>titul, meno a priezvisko</w:t>
        <w:tab/>
        <w:t>:</w:t>
        <w:tab/>
      </w:r>
      <w:r>
        <w:rPr>
          <w:b/>
          <w:lang w:val="sk-SK"/>
        </w:rPr>
        <w:t>Ing. Tomáš DOPIRÁK</w:t>
      </w:r>
    </w:p>
    <w:p>
      <w:pPr>
        <w:pStyle w:val="Normal"/>
        <w:tabs>
          <w:tab w:val="left" w:pos="3828" w:leader="none"/>
        </w:tabs>
        <w:ind w:left="852" w:hanging="426"/>
        <w:jc w:val="both"/>
        <w:rPr>
          <w:b/>
          <w:b/>
          <w:lang w:val="sk-SK"/>
        </w:rPr>
      </w:pPr>
      <w:r>
        <w:rPr>
          <w:lang w:val="sk-SK"/>
        </w:rPr>
        <w:tab/>
        <w:t>kontaktné údaje</w:t>
        <w:tab/>
        <w:t xml:space="preserve">:  </w:t>
        <w:tab/>
      </w:r>
      <w:r>
        <w:rPr>
          <w:b/>
          <w:lang w:val="sk-SK"/>
        </w:rPr>
        <w:t>dopirak@osobnyudaj.sk, 02/800 800 80</w:t>
      </w:r>
    </w:p>
    <w:p>
      <w:pPr>
        <w:pStyle w:val="Normal"/>
        <w:tabs>
          <w:tab w:val="left" w:pos="3828" w:leader="none"/>
        </w:tabs>
        <w:jc w:val="both"/>
        <w:rPr>
          <w:lang w:val="sk-SK"/>
        </w:rPr>
      </w:pPr>
      <w:r>
        <w:rPr>
          <w:lang w:val="sk-SK"/>
        </w:rPr>
      </w:r>
    </w:p>
    <w:p>
      <w:pPr>
        <w:pStyle w:val="Normal"/>
        <w:tabs>
          <w:tab w:val="left" w:pos="3828" w:leader="none"/>
        </w:tabs>
        <w:ind w:left="852" w:hanging="426"/>
        <w:jc w:val="both"/>
        <w:rPr>
          <w:lang w:val="sk-SK"/>
        </w:rPr>
      </w:pPr>
      <w:r>
        <w:rPr>
          <w:lang w:val="sk-SK"/>
        </w:rPr>
      </w:r>
    </w:p>
    <w:p>
      <w:pPr>
        <w:pStyle w:val="Normal"/>
        <w:tabs>
          <w:tab w:val="left" w:pos="3828" w:leader="none"/>
        </w:tabs>
        <w:ind w:left="852" w:hanging="426"/>
        <w:jc w:val="both"/>
        <w:rPr>
          <w:lang w:val="sk-SK"/>
        </w:rPr>
      </w:pPr>
      <w:r>
        <w:rPr>
          <w:lang w:val="sk-SK"/>
        </w:rPr>
        <w:tab/>
        <w:t>(ďalej len „</w:t>
      </w:r>
      <w:r>
        <w:rPr>
          <w:b/>
          <w:lang w:val="sk-SK"/>
        </w:rPr>
        <w:t>zodpovedná osoba</w:t>
      </w:r>
      <w:r>
        <w:rPr>
          <w:lang w:val="sk-SK"/>
        </w:rPr>
        <w:t>“)</w:t>
      </w:r>
    </w:p>
    <w:p>
      <w:pPr>
        <w:pStyle w:val="Normal"/>
        <w:tabs>
          <w:tab w:val="left" w:pos="3828" w:leader="none"/>
        </w:tabs>
        <w:ind w:left="426" w:hanging="426"/>
        <w:jc w:val="both"/>
        <w:rPr>
          <w:lang w:val="sk-SK"/>
        </w:rPr>
      </w:pPr>
      <w:r>
        <w:rPr>
          <w:lang w:val="sk-SK"/>
        </w:rPr>
      </w:r>
    </w:p>
    <w:p>
      <w:pPr>
        <w:pStyle w:val="Normal"/>
        <w:ind w:left="426" w:hanging="426"/>
        <w:jc w:val="both"/>
        <w:rPr>
          <w:lang w:val="sk-SK"/>
        </w:rPr>
      </w:pPr>
      <w:r>
        <w:rPr>
          <w:b/>
          <w:lang w:val="sk-SK"/>
        </w:rPr>
        <w:t>4.2.</w:t>
      </w:r>
      <w:r>
        <w:rPr>
          <w:lang w:val="sk-SK"/>
        </w:rPr>
        <w:t xml:space="preserve"> </w:t>
        <w:tab/>
        <w:t xml:space="preserve">Poskytovateľ je oprávnený vymenovať pre Prevádzkovateľa ďalšie zodpovedné osoby, pričom o tom musí informovať Prevádzkovateľa a zároveň túto skutočnosť oznámiť Úradu. Počas trvania tejto zmluvy nie je Prevádzkovateľ oprávnený bez vedomia a zároveň bez súhlasu Poskytovateľa poveriť dohľadom nad ochranou osobných údajov inú zodpovednú osobu. </w:t>
      </w:r>
    </w:p>
    <w:p>
      <w:pPr>
        <w:pStyle w:val="Normal"/>
        <w:ind w:left="426" w:hanging="426"/>
        <w:jc w:val="both"/>
        <w:rPr>
          <w:lang w:val="sk-SK"/>
        </w:rPr>
      </w:pPr>
      <w:r>
        <w:rPr>
          <w:lang w:val="sk-SK"/>
        </w:rPr>
      </w:r>
    </w:p>
    <w:p>
      <w:pPr>
        <w:pStyle w:val="Normal"/>
        <w:ind w:left="426" w:hanging="426"/>
        <w:jc w:val="both"/>
        <w:rPr>
          <w:lang w:val="sk-SK"/>
        </w:rPr>
      </w:pPr>
      <w:r>
        <w:rPr>
          <w:b/>
          <w:lang w:val="sk-SK"/>
        </w:rPr>
        <w:t>4.3.</w:t>
      </w:r>
      <w:r>
        <w:rPr>
          <w:lang w:val="sk-SK"/>
        </w:rPr>
        <w:t xml:space="preserve"> </w:t>
        <w:tab/>
        <w:t>Prevádzkovateľ je povinný bezodkladne informovať poskytovateľa v prípade, že zistí, alebo sa dôvodne domnieva, že určená zodpovedná osoba nespĺňa osobnostné alebo odborné predpoklady na výkon funkcie zodpovednej osoby, alebo z iných dôvodov hodných osobitného zreteľa je pochybnosť o jej riadnom a nezávislom výkone dohľadu nad ochranou osobných údajov spracovávaných prevádzkovateľom.</w:t>
      </w:r>
    </w:p>
    <w:p>
      <w:pPr>
        <w:pStyle w:val="Normal"/>
        <w:ind w:left="426" w:hanging="426"/>
        <w:jc w:val="both"/>
        <w:rPr>
          <w:lang w:val="sk-SK"/>
        </w:rPr>
      </w:pPr>
      <w:r>
        <w:rPr>
          <w:lang w:val="sk-SK"/>
        </w:rPr>
      </w:r>
    </w:p>
    <w:p>
      <w:pPr>
        <w:pStyle w:val="Normal"/>
        <w:ind w:left="426" w:hanging="426"/>
        <w:jc w:val="both"/>
        <w:rPr>
          <w:color w:val="FF0000"/>
          <w:lang w:val="sk-SK"/>
        </w:rPr>
      </w:pPr>
      <w:r>
        <w:rPr>
          <w:b/>
          <w:lang w:val="sk-SK"/>
        </w:rPr>
        <w:t xml:space="preserve">4.4. </w:t>
      </w:r>
      <w:r>
        <w:rPr>
          <w:lang w:val="sk-SK"/>
        </w:rPr>
        <w:t xml:space="preserve"> V prípade, že poskytovateľ v zmysle bodu 4.3.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t.j. oznámiť skončenie pôsobenia zodpovednej osoby uvedenej v bode 4.1. a nahlásiť inú, ním určenú zodpovednú osobu, ktorá splnením podmienok poverenia výlučne zodpovedá prevádzkovateľovi za dohľad nad ochranou ním spracovávaných osobných údajov. </w:t>
      </w:r>
    </w:p>
    <w:p>
      <w:pPr>
        <w:pStyle w:val="Normal"/>
        <w:jc w:val="both"/>
        <w:rPr>
          <w:color w:val="FF0000"/>
          <w:lang w:val="sk-SK"/>
        </w:rPr>
      </w:pPr>
      <w:r>
        <w:rPr>
          <w:color w:val="FF0000"/>
          <w:lang w:val="sk-SK"/>
        </w:rPr>
      </w:r>
    </w:p>
    <w:p>
      <w:pPr>
        <w:pStyle w:val="ListParagraph"/>
        <w:numPr>
          <w:ilvl w:val="1"/>
          <w:numId w:val="12"/>
        </w:numPr>
        <w:jc w:val="both"/>
        <w:rPr>
          <w:lang w:val="sk-SK"/>
        </w:rPr>
      </w:pPr>
      <w:r>
        <w:rPr>
          <w:lang w:val="sk-SK"/>
        </w:rPr>
        <w:t>V prípade, že každá z poverených zodpovedných osôb (viď bod 4.1.) zodpovedá za dohľad nad ochranou osobných údajov u prevádzkovateľa v zmysle zákona, rozdelenie zodpovednosti zodpovedných osôb medzi nimi navzájom v rámci jednotlivých organizačných zložiek podniku prevádzkovateľa (pobočiek) je vo výhradnej kompetencii poskytovateľa.</w:t>
      </w:r>
    </w:p>
    <w:p>
      <w:pPr>
        <w:pStyle w:val="Normal"/>
        <w:ind w:left="426" w:hanging="426"/>
        <w:jc w:val="both"/>
        <w:rPr>
          <w:lang w:val="sk-SK"/>
        </w:rPr>
      </w:pPr>
      <w:r>
        <w:rPr>
          <w:lang w:val="sk-SK"/>
        </w:rPr>
      </w:r>
    </w:p>
    <w:p>
      <w:pPr>
        <w:pStyle w:val="Normal"/>
        <w:jc w:val="center"/>
        <w:rPr>
          <w:b/>
          <w:b/>
          <w:lang w:val="sk-SK"/>
        </w:rPr>
      </w:pPr>
      <w:r>
        <w:rPr>
          <w:b/>
          <w:lang w:val="sk-SK"/>
        </w:rPr>
        <w:t>čl. V.</w:t>
      </w:r>
    </w:p>
    <w:p>
      <w:pPr>
        <w:pStyle w:val="Normal"/>
        <w:jc w:val="center"/>
        <w:rPr>
          <w:b/>
          <w:b/>
          <w:lang w:val="sk-SK"/>
        </w:rPr>
      </w:pPr>
      <w:r>
        <w:rPr>
          <w:b/>
          <w:lang w:val="sk-SK"/>
        </w:rPr>
        <w:t>Povinnosti zodpovednej osoby</w:t>
      </w:r>
    </w:p>
    <w:p>
      <w:pPr>
        <w:pStyle w:val="Normal"/>
        <w:jc w:val="center"/>
        <w:rPr>
          <w:b/>
          <w:b/>
          <w:lang w:val="sk-SK"/>
        </w:rPr>
      </w:pPr>
      <w:r>
        <w:rPr>
          <w:b/>
          <w:lang w:val="sk-SK"/>
        </w:rPr>
      </w:r>
    </w:p>
    <w:p>
      <w:pPr>
        <w:pStyle w:val="Normal"/>
        <w:numPr>
          <w:ilvl w:val="1"/>
          <w:numId w:val="3"/>
        </w:numPr>
        <w:tabs>
          <w:tab w:val="left" w:pos="426" w:leader="none"/>
        </w:tabs>
        <w:ind w:left="426" w:hanging="426"/>
        <w:jc w:val="both"/>
        <w:rPr>
          <w:lang w:val="sk-SK"/>
        </w:rPr>
      </w:pPr>
      <w:r>
        <w:rPr>
          <w:lang w:val="sk-SK"/>
        </w:rPr>
        <w:t xml:space="preserve"> </w:t>
      </w:r>
      <w:r>
        <w:rPr>
          <w:lang w:val="sk-SK"/>
        </w:rPr>
        <w:t>V zmysle dohody zmluvných strán je rozsah povinností zodpovednej osoby ďalej obsahovo vymedzený nariadením GDPR a zákonom č. 18/2018 Z. z. o ochrane osobných údajov a o zmene a doplnení niektorých zákonov.  Vzhľadom na uvedené právne predpisy je zodpovedná osoba povinná najmä:</w:t>
      </w:r>
    </w:p>
    <w:p>
      <w:pPr>
        <w:pStyle w:val="Normal"/>
        <w:ind w:left="360" w:hanging="0"/>
        <w:jc w:val="both"/>
        <w:rPr>
          <w:lang w:val="sk-SK"/>
        </w:rPr>
      </w:pPr>
      <w:r>
        <w:rPr>
          <w:lang w:val="sk-SK"/>
        </w:rPr>
      </w:r>
    </w:p>
    <w:p>
      <w:pPr>
        <w:pStyle w:val="Normal"/>
        <w:numPr>
          <w:ilvl w:val="2"/>
          <w:numId w:val="3"/>
        </w:numPr>
        <w:jc w:val="both"/>
        <w:rPr>
          <w:lang w:val="sk-SK"/>
        </w:rPr>
      </w:pPr>
      <w:r>
        <w:rPr>
          <w:lang w:val="sk-SK"/>
        </w:rPr>
        <w:t>poskytovať informácie a poradenstvo prevádzkovateľovi a zamestnancom, ktorí vykonávajú spracúvanie osobných údajov, o ich povinnostiach podľa nariadenia GDPR, zákona a iných právnych predpisoch upravujúcich oblasť ochrany osobných údajov,</w:t>
      </w:r>
    </w:p>
    <w:p>
      <w:pPr>
        <w:pStyle w:val="Normal"/>
        <w:numPr>
          <w:ilvl w:val="2"/>
          <w:numId w:val="3"/>
        </w:numPr>
        <w:jc w:val="both"/>
        <w:rPr>
          <w:lang w:val="sk-SK"/>
        </w:rPr>
      </w:pPr>
      <w:r>
        <w:rPr>
          <w:lang w:val="sk-SK"/>
        </w:rPr>
        <w:t>monitorovať súlad s právnymi predpismi, upravujúcimi oblasť ochrany osobných údajov, vrátane zvyšovania povedomia a odbornej prípravy osôb, ktoré sú zapojené do spracovateľských operácií a súvisiacich auditov ochrany osobných údajov,</w:t>
      </w:r>
    </w:p>
    <w:p>
      <w:pPr>
        <w:pStyle w:val="Normal"/>
        <w:numPr>
          <w:ilvl w:val="2"/>
          <w:numId w:val="3"/>
        </w:numPr>
        <w:jc w:val="both"/>
        <w:rPr>
          <w:lang w:val="sk-SK"/>
        </w:rPr>
      </w:pPr>
      <w:r>
        <w:rPr>
          <w:lang w:val="sk-SK"/>
        </w:rPr>
        <w:t>poskytovať na požiadanie poradenstvo, ak ide o posúdenie vplyvu na ochranu osobných údajov a monitorovanie jeho vykonávania podľa Nariadenia GDPR a zákona,</w:t>
      </w:r>
    </w:p>
    <w:p>
      <w:pPr>
        <w:pStyle w:val="Normal"/>
        <w:numPr>
          <w:ilvl w:val="2"/>
          <w:numId w:val="3"/>
        </w:numPr>
        <w:jc w:val="both"/>
        <w:rPr>
          <w:lang w:val="sk-SK"/>
        </w:rPr>
      </w:pPr>
      <w:r>
        <w:rPr>
          <w:lang w:val="sk-SK"/>
        </w:rPr>
        <w:t>spolupracovať s Úradom na ochranu osobných údajov,</w:t>
      </w:r>
    </w:p>
    <w:p>
      <w:pPr>
        <w:pStyle w:val="Normal"/>
        <w:numPr>
          <w:ilvl w:val="2"/>
          <w:numId w:val="3"/>
        </w:numPr>
        <w:jc w:val="both"/>
        <w:rPr>
          <w:lang w:val="sk-SK"/>
        </w:rPr>
      </w:pPr>
      <w:r>
        <w:rPr>
          <w:lang w:val="sk-SK"/>
        </w:rPr>
        <w:t>plniť úlohy kontaktného miesta pre úrad v súvislosti s otázkami týkajúcimi sa spracúvania osobných údajov vrátane predchádzajúcej podľa Nariadenia GDPR a zákona a podľa potreby aj konzultácie v iných veciach,</w:t>
      </w:r>
    </w:p>
    <w:p>
      <w:pPr>
        <w:pStyle w:val="Normal"/>
        <w:numPr>
          <w:ilvl w:val="2"/>
          <w:numId w:val="3"/>
        </w:numPr>
        <w:jc w:val="both"/>
        <w:rPr>
          <w:lang w:val="sk-SK"/>
        </w:rPr>
      </w:pPr>
      <w:r>
        <w:rPr>
          <w:lang w:val="sk-SK"/>
        </w:rPr>
        <w:t>zodpovedná osoba pri výkone svojich úloh náležite zohľadňuje riziko spojené so spracovateľskými operáciami, pričom berie do úvahy povahu, rozsah, kontext a účel spracúvania osobných údajov.</w:t>
      </w:r>
    </w:p>
    <w:p>
      <w:pPr>
        <w:pStyle w:val="Normal"/>
        <w:jc w:val="both"/>
        <w:rPr>
          <w:lang w:val="sk-SK"/>
        </w:rPr>
      </w:pPr>
      <w:r>
        <w:rPr>
          <w:lang w:val="sk-SK"/>
        </w:rPr>
      </w:r>
    </w:p>
    <w:p>
      <w:pPr>
        <w:pStyle w:val="Normal"/>
        <w:numPr>
          <w:ilvl w:val="1"/>
          <w:numId w:val="3"/>
        </w:numPr>
        <w:tabs>
          <w:tab w:val="left" w:pos="426" w:leader="none"/>
        </w:tabs>
        <w:ind w:left="426" w:hanging="426"/>
        <w:jc w:val="both"/>
        <w:rPr>
          <w:lang w:val="sk-SK"/>
        </w:rPr>
      </w:pPr>
      <w:r>
        <w:rPr>
          <w:lang w:val="sk-SK"/>
        </w:rPr>
        <w:t xml:space="preserve"> </w:t>
      </w:r>
      <w:r>
        <w:rPr>
          <w:lang w:val="sk-SK"/>
        </w:rPr>
        <w:t xml:space="preserve">Ak Zodpovedná osoba prestane spĺňať podmienky podľa Nariadenia GDPR a zákona, je povinná bez zbytočného odkladu oznámiť túto skutočnosť prevádzkovateľovi. Po zaslaní oznámenia podľa predchádzajúcej vety sa poskytovateľ zaväzuje postupovať tak, aby bola zachovaná náležitá ochrana osobných údajov dotknutých osôb a zachované zákonné povinnosti prevádzkovateľa. </w:t>
      </w:r>
    </w:p>
    <w:p>
      <w:pPr>
        <w:pStyle w:val="Normal"/>
        <w:tabs>
          <w:tab w:val="left" w:pos="426" w:leader="none"/>
        </w:tabs>
        <w:ind w:left="426" w:hanging="426"/>
        <w:jc w:val="both"/>
        <w:rPr>
          <w:lang w:val="sk-SK"/>
        </w:rPr>
      </w:pPr>
      <w:r>
        <w:rPr>
          <w:lang w:val="sk-SK"/>
        </w:rPr>
      </w:r>
    </w:p>
    <w:p>
      <w:pPr>
        <w:pStyle w:val="Normal"/>
        <w:numPr>
          <w:ilvl w:val="1"/>
          <w:numId w:val="3"/>
        </w:numPr>
        <w:tabs>
          <w:tab w:val="left" w:pos="426" w:leader="none"/>
        </w:tabs>
        <w:ind w:left="426" w:hanging="426"/>
        <w:jc w:val="both"/>
        <w:rPr>
          <w:lang w:val="sk-SK"/>
        </w:rPr>
      </w:pPr>
      <w:r>
        <w:rPr>
          <w:lang w:val="sk-SK"/>
        </w:rPr>
        <w:t>V záujme ochrany práv prevádzkovateľa sa zodpovedná osoba zaväzuje sama, alebo prostredníctvom ňou poverenej tretej osoby (napríklad advokátska kancelária), na vlastné náklady spracovať a doručiť prevádzkovateľovi námietky alebo vyjadrenia k protokolom, alebo záznamom o kontrole vykonávanej u prevádzkovateľa.</w:t>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center"/>
        <w:rPr>
          <w:b/>
          <w:b/>
          <w:lang w:val="sk-SK"/>
        </w:rPr>
      </w:pPr>
      <w:r>
        <w:rPr>
          <w:b/>
          <w:lang w:val="sk-SK"/>
        </w:rPr>
        <w:t>čl. VI.</w:t>
      </w:r>
    </w:p>
    <w:p>
      <w:pPr>
        <w:pStyle w:val="Normal"/>
        <w:jc w:val="center"/>
        <w:rPr>
          <w:b/>
          <w:b/>
          <w:lang w:val="sk-SK"/>
        </w:rPr>
      </w:pPr>
      <w:r>
        <w:rPr>
          <w:b/>
          <w:lang w:val="sk-SK"/>
        </w:rPr>
        <w:t>Povinnosti prevádzkovateľa</w:t>
      </w:r>
    </w:p>
    <w:p>
      <w:pPr>
        <w:pStyle w:val="Normal"/>
        <w:jc w:val="center"/>
        <w:rPr>
          <w:b/>
          <w:b/>
          <w:lang w:val="sk-SK"/>
        </w:rPr>
      </w:pPr>
      <w:r>
        <w:rPr>
          <w:b/>
          <w:lang w:val="sk-SK"/>
        </w:rPr>
      </w:r>
    </w:p>
    <w:p>
      <w:pPr>
        <w:pStyle w:val="Normal"/>
        <w:ind w:left="426" w:hanging="426"/>
        <w:jc w:val="both"/>
        <w:rPr>
          <w:lang w:val="sk-SK"/>
        </w:rPr>
      </w:pPr>
      <w:r>
        <w:rPr>
          <w:b/>
          <w:lang w:val="sk-SK"/>
        </w:rPr>
        <w:t>6.1.</w:t>
      </w:r>
      <w:r>
        <w:rPr>
          <w:lang w:val="sk-SK"/>
        </w:rPr>
        <w:tab/>
        <w:t>V zmysle dohody zmluvných strán je poskytovateľom určená zodpovedná osoba, resp. samotný poskytovateľ, oprávnený vyžadovať pre riadne plnenie tejto zmluvy plnú súčinnosť zo strany prevádzkovateľa, a za tým účelom sa prevádzkovateľ zaväzuje:</w:t>
      </w:r>
    </w:p>
    <w:p>
      <w:pPr>
        <w:pStyle w:val="Normal"/>
        <w:ind w:left="426" w:hanging="426"/>
        <w:jc w:val="both"/>
        <w:rPr>
          <w:lang w:val="sk-SK"/>
        </w:rPr>
      </w:pPr>
      <w:r>
        <w:rPr>
          <w:lang w:val="sk-SK"/>
        </w:rPr>
      </w:r>
    </w:p>
    <w:p>
      <w:pPr>
        <w:pStyle w:val="Normal"/>
        <w:ind w:left="709" w:hanging="709"/>
        <w:jc w:val="both"/>
        <w:rPr>
          <w:lang w:val="sk-SK"/>
        </w:rPr>
      </w:pPr>
      <w:r>
        <w:rPr>
          <w:b/>
          <w:lang w:val="sk-SK"/>
        </w:rPr>
        <w:t>6.1.1.</w:t>
      </w:r>
      <w:r>
        <w:rPr>
          <w:lang w:val="sk-SK"/>
        </w:rPr>
        <w:tab/>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pPr>
        <w:pStyle w:val="Normal"/>
        <w:ind w:left="709" w:hanging="709"/>
        <w:jc w:val="both"/>
        <w:rPr>
          <w:lang w:val="sk-SK"/>
        </w:rPr>
      </w:pPr>
      <w:r>
        <w:rPr>
          <w:b/>
          <w:lang w:val="sk-SK"/>
        </w:rPr>
        <w:t>6.1.2.</w:t>
      </w:r>
      <w:r>
        <w:rPr>
          <w:lang w:val="sk-SK"/>
        </w:rPr>
        <w:tab/>
        <w:t>bude bezodkladne preukázateľnou formou informovať zodpovednú osobu (bod 4.1.) a poskytovateľa o prijatí oznámenia o ohlásenej kontrole zo strany kontrolného orgánu (ďalej len „</w:t>
      </w:r>
      <w:r>
        <w:rPr>
          <w:b/>
          <w:lang w:val="sk-SK"/>
        </w:rPr>
        <w:t>kontrola</w:t>
      </w:r>
      <w:r>
        <w:rPr>
          <w:lang w:val="sk-SK"/>
        </w:rPr>
        <w:t>“) s uvedením najmä predmetu a účelu kontroly a bude ho bezodkladne preukázateľne informovať o prijatí akejkoľvek písomnosti zo strany úradu či kontrolného orgánu, žiadosti dotknutej osoby alebo podnetu zo strany akejkoľvek osoby (vrátane anonymného podnetu) v ktorom sa konštatuje porušovanie zákona pri povinnosti prevádzkovateľa pri nakladaní s osobnými údajmi.</w:t>
      </w:r>
    </w:p>
    <w:p>
      <w:pPr>
        <w:pStyle w:val="Normal"/>
        <w:ind w:left="709" w:hanging="709"/>
        <w:jc w:val="both"/>
        <w:rPr>
          <w:lang w:val="sk-SK"/>
        </w:rPr>
      </w:pPr>
      <w:r>
        <w:rPr>
          <w:b/>
          <w:lang w:val="sk-SK"/>
        </w:rPr>
        <w:t>6.1.3.</w:t>
      </w:r>
      <w:r>
        <w:rPr>
          <w:lang w:val="sk-SK"/>
        </w:rPr>
        <w:tab/>
        <w:t>že bez vedomia a bez preukázateľného súhlasu zodpovednej osoby (bod 4.1.):</w:t>
      </w:r>
    </w:p>
    <w:p>
      <w:pPr>
        <w:pStyle w:val="Normal"/>
        <w:numPr>
          <w:ilvl w:val="0"/>
          <w:numId w:val="9"/>
        </w:numPr>
        <w:tabs>
          <w:tab w:val="left" w:pos="1099" w:leader="none"/>
        </w:tabs>
        <w:ind w:left="1135" w:hanging="426"/>
        <w:jc w:val="both"/>
        <w:rPr>
          <w:lang w:val="sk-SK"/>
        </w:rPr>
      </w:pPr>
      <w:r>
        <w:rPr>
          <w:lang w:val="sk-SK"/>
        </w:rPr>
        <w:t xml:space="preserve">nepodá žiadne písomné stanovisko úradu ani kontrolnému orgánu s výnimkou, ak napriek dožiadaniu adresovanému zodpovednej osobe (bod 4.1.) sa táto k dožiadaniu nevyjadrí v určenej lehote nie kratšej ako 10 pracovných dní. </w:t>
      </w:r>
    </w:p>
    <w:p>
      <w:pPr>
        <w:pStyle w:val="Normal"/>
        <w:numPr>
          <w:ilvl w:val="0"/>
          <w:numId w:val="9"/>
        </w:numPr>
        <w:ind w:left="1134" w:hanging="426"/>
        <w:jc w:val="both"/>
        <w:rPr>
          <w:lang w:val="sk-SK"/>
        </w:rPr>
      </w:pPr>
      <w:r>
        <w:rPr>
          <w:lang w:val="sk-SK"/>
        </w:rPr>
        <w:t>pred potvrdením termínu kontroly, t. j. predtým, ako úradu či kontrolnému orgánu zašle potvrdenie o oznámenom termíne kontroly, si tento termín preverí u zodpovednej osoby (bod. 4.1.) s ohľadom na možnú kolíziu uvedeného termínu s aktivitami zodpovednej osoby (bod. 4.1.), inak nenesie poskytovateľ zodpovednosť za neprítomnosť zodpovednej osoby (bod 4.1.) počas kontroly vo vopred neodsúhlasenom termíne.</w:t>
      </w:r>
    </w:p>
    <w:p>
      <w:pPr>
        <w:pStyle w:val="Normal"/>
        <w:numPr>
          <w:ilvl w:val="0"/>
          <w:numId w:val="9"/>
        </w:numPr>
        <w:ind w:left="1134" w:hanging="426"/>
        <w:jc w:val="both"/>
        <w:rPr>
          <w:lang w:val="sk-SK"/>
        </w:rPr>
      </w:pPr>
      <w:r>
        <w:rPr>
          <w:lang w:val="sk-SK"/>
        </w:rPr>
        <w:t>neuhradí ani neuzná pokutu či akúkoľvek inú sankciu udelenú zo strany kontrolného orgánu / úradu / čím zmarí prípadné podanie námietok alebo odvolania voči rozhodnutiu o udelení pokuty, resp. možnosť vyjadriť sa k protokolu či záznamu o kontrole,</w:t>
      </w:r>
    </w:p>
    <w:p>
      <w:pPr>
        <w:pStyle w:val="Normal"/>
        <w:numPr>
          <w:ilvl w:val="0"/>
          <w:numId w:val="9"/>
        </w:numPr>
        <w:ind w:left="1134" w:hanging="426"/>
        <w:jc w:val="both"/>
        <w:rPr>
          <w:lang w:val="sk-SK"/>
        </w:rPr>
      </w:pPr>
      <w:r>
        <w:rPr>
          <w:lang w:val="sk-SK"/>
        </w:rPr>
        <w:t>nepoverí svojim zastupovaním tretiu osobu, ktorá bude oprávnená konať bez vedomia a bez povinnej súčinnosti s poverenou zodpovednou osobou,</w:t>
      </w:r>
    </w:p>
    <w:p>
      <w:pPr>
        <w:pStyle w:val="Normal"/>
        <w:jc w:val="both"/>
        <w:rPr>
          <w:lang w:val="sk-SK"/>
        </w:rPr>
      </w:pPr>
      <w:r>
        <w:rPr>
          <w:lang w:val="sk-SK"/>
        </w:rPr>
      </w:r>
    </w:p>
    <w:p>
      <w:pPr>
        <w:pStyle w:val="Normal"/>
        <w:ind w:left="709" w:hanging="709"/>
        <w:jc w:val="both"/>
        <w:rPr>
          <w:lang w:val="sk-SK"/>
        </w:rPr>
      </w:pPr>
      <w:r>
        <w:rPr>
          <w:b/>
          <w:lang w:val="sk-SK"/>
        </w:rPr>
        <w:t>6.1.4.</w:t>
      </w:r>
      <w:r>
        <w:rPr>
          <w:lang w:val="sk-SK"/>
        </w:rPr>
        <w:tab/>
        <w:t>v pracovný deň na požiadanie poskytnúť zodpovednej osobe vhodné kancelárske priestory v mieste svojho sídla, resp. na inom mieste, kde sa nakladá a kde sa uschovávajú osobné údaje, a kde jej bude umožnené plniť povinnosti podľa tejto zmluvy v nevyhnutnom obvyklom pracovnom čase,  ak tieto nebude vykonávať na inom mieste nezávisle od prevádzkovateľa.</w:t>
      </w:r>
    </w:p>
    <w:p>
      <w:pPr>
        <w:pStyle w:val="Normal"/>
        <w:ind w:left="709" w:hanging="709"/>
        <w:jc w:val="both"/>
        <w:rPr>
          <w:lang w:val="sk-SK"/>
        </w:rPr>
      </w:pPr>
      <w:r>
        <w:rPr>
          <w:b/>
          <w:lang w:val="sk-SK"/>
        </w:rPr>
        <w:t>6.1.5.</w:t>
      </w:r>
      <w:r>
        <w:rPr>
          <w:lang w:val="sk-SK"/>
        </w:rPr>
        <w:tab/>
        <w:t>že bude informovať poskytovateľa a ním poverenú zodpovednú osobu o všetkých zmenách skutočnostiach, dôležitých pre plnenie povinností poskytovateľa a/alebo zodpovednej osoby, vplývajúcich im z tejto zmluvy alebo príslušných právnych predpisov.</w:t>
      </w:r>
    </w:p>
    <w:p>
      <w:pPr>
        <w:pStyle w:val="Normal"/>
        <w:ind w:left="426" w:hanging="426"/>
        <w:jc w:val="both"/>
        <w:rPr>
          <w:lang w:val="sk-SK"/>
        </w:rPr>
      </w:pPr>
      <w:r>
        <w:rPr>
          <w:lang w:val="sk-SK"/>
        </w:rPr>
      </w:r>
    </w:p>
    <w:p>
      <w:pPr>
        <w:pStyle w:val="Normal"/>
        <w:ind w:left="426" w:hanging="426"/>
        <w:jc w:val="both"/>
        <w:rPr>
          <w:lang w:val="sk-SK"/>
        </w:rPr>
      </w:pPr>
      <w:r>
        <w:rPr>
          <w:b/>
          <w:lang w:val="sk-SK"/>
        </w:rPr>
        <w:t>6.2.</w:t>
      </w:r>
      <w:r>
        <w:rPr>
          <w:lang w:val="sk-SK"/>
        </w:rPr>
        <w:tab/>
        <w:t>Prevádzkovateľ berie na vedomie povinnosť zverejniť kontaktné údaje zodpovednej osoby, napríklad na ich webovom sídle a to dňom účinnosti tejto zmluvy.</w:t>
      </w:r>
    </w:p>
    <w:p>
      <w:pPr>
        <w:pStyle w:val="Normal"/>
        <w:ind w:left="426" w:hanging="426"/>
        <w:jc w:val="both"/>
        <w:rPr>
          <w:lang w:val="sk-SK"/>
        </w:rPr>
      </w:pPr>
      <w:r>
        <w:rPr>
          <w:lang w:val="sk-SK"/>
        </w:rPr>
      </w:r>
    </w:p>
    <w:p>
      <w:pPr>
        <w:pStyle w:val="Normal"/>
        <w:ind w:left="426" w:hanging="426"/>
        <w:jc w:val="both"/>
        <w:rPr>
          <w:lang w:val="sk-SK"/>
        </w:rPr>
      </w:pPr>
      <w:r>
        <w:rPr>
          <w:b/>
          <w:lang w:val="sk-SK"/>
        </w:rPr>
        <w:t>6.3.</w:t>
      </w:r>
      <w:r>
        <w:rPr>
          <w:lang w:val="sk-SK"/>
        </w:rPr>
        <w:tab/>
        <w:t>Prevádzkovateľ berie na vedomie, že z</w:t>
      </w:r>
      <w:r>
        <w:rPr>
          <w:rFonts w:cs="ITCBookmanEE"/>
          <w:lang w:val="sk-SK"/>
        </w:rPr>
        <w:t>odpovedná osoba má postavenie oprávnenej osoby prevádzkovateľa s právom prístupu do informačných systémov prevádzkovateľa v rozsahu potrebnom na plnenie svojich úloh.</w:t>
      </w:r>
    </w:p>
    <w:p>
      <w:pPr>
        <w:pStyle w:val="Normal"/>
        <w:jc w:val="both"/>
        <w:rPr>
          <w:lang w:val="sk-SK"/>
        </w:rPr>
      </w:pPr>
      <w:r>
        <w:rPr>
          <w:lang w:val="sk-SK"/>
        </w:rPr>
      </w:r>
    </w:p>
    <w:p>
      <w:pPr>
        <w:pStyle w:val="Normal"/>
        <w:jc w:val="center"/>
        <w:rPr>
          <w:b/>
          <w:b/>
          <w:lang w:val="sk-SK"/>
        </w:rPr>
      </w:pPr>
      <w:r>
        <w:rPr>
          <w:b/>
          <w:lang w:val="sk-SK"/>
        </w:rPr>
        <w:t>čl. VII.</w:t>
      </w:r>
    </w:p>
    <w:p>
      <w:pPr>
        <w:pStyle w:val="Normal"/>
        <w:jc w:val="center"/>
        <w:rPr>
          <w:b/>
          <w:b/>
          <w:lang w:val="sk-SK"/>
        </w:rPr>
      </w:pPr>
      <w:r>
        <w:rPr>
          <w:b/>
          <w:lang w:val="sk-SK"/>
        </w:rPr>
        <w:t>Zodpovednosť poskytovateľa</w:t>
      </w:r>
    </w:p>
    <w:p>
      <w:pPr>
        <w:pStyle w:val="Normal"/>
        <w:jc w:val="center"/>
        <w:rPr>
          <w:b/>
          <w:b/>
          <w:lang w:val="sk-SK"/>
        </w:rPr>
      </w:pPr>
      <w:r>
        <w:rPr>
          <w:b/>
          <w:lang w:val="sk-SK"/>
        </w:rPr>
      </w:r>
    </w:p>
    <w:p>
      <w:pPr>
        <w:pStyle w:val="Normal"/>
        <w:ind w:left="426" w:hanging="426"/>
        <w:jc w:val="both"/>
        <w:rPr>
          <w:lang w:val="sk-SK"/>
        </w:rPr>
      </w:pPr>
      <w:r>
        <w:rPr>
          <w:b/>
          <w:lang w:val="sk-SK"/>
        </w:rPr>
        <w:t>7.1.</w:t>
      </w:r>
      <w:r>
        <w:rPr>
          <w:lang w:val="sk-SK"/>
        </w:rPr>
        <w:tab/>
        <w:t>Pokiaľ počas trvania tejto zmluvy bude u prevádzkovateľa vykonaná kontrola po ukončení ktorej bude prevádzkovateľovi právoplatne napriek konaniu v súčinnosti s poskytovateľom a dodržaniu ustanovení tejto zmluvy, zákona a pokynov poskytovateľa alebo zodpovednej osoby, udelená pokuta podľa § 104 zákona, zaväzuje sa poskytovateľ nahradiť mu vzniknutú škodu predstavujúcu sumu, ktorú v dôsledku právoplatne udelenej sankcie zo strany kontrolného orgánu prevádzkovateľ zaplatil kontrolnému orgánu, maximálne však do výšky 1000 násobku mesačnej odplaty uvedenej v čl. VIII. tejto zmluvy.</w:t>
      </w:r>
    </w:p>
    <w:p>
      <w:pPr>
        <w:pStyle w:val="Normal"/>
        <w:ind w:left="426" w:hanging="426"/>
        <w:jc w:val="both"/>
        <w:rPr>
          <w:lang w:val="sk-SK"/>
        </w:rPr>
      </w:pPr>
      <w:r>
        <w:rPr>
          <w:lang w:val="sk-SK"/>
        </w:rPr>
      </w:r>
    </w:p>
    <w:p>
      <w:pPr>
        <w:pStyle w:val="Normal"/>
        <w:ind w:left="426" w:hanging="426"/>
        <w:jc w:val="both"/>
        <w:rPr>
          <w:lang w:val="sk-SK"/>
        </w:rPr>
      </w:pPr>
      <w:r>
        <w:rPr>
          <w:lang w:val="sk-SK"/>
        </w:rPr>
      </w:r>
    </w:p>
    <w:p>
      <w:pPr>
        <w:pStyle w:val="Normal"/>
        <w:ind w:left="426" w:hanging="426"/>
        <w:jc w:val="both"/>
        <w:rPr>
          <w:lang w:val="sk-SK"/>
        </w:rPr>
      </w:pPr>
      <w:r>
        <w:rPr>
          <w:b/>
          <w:lang w:val="sk-SK"/>
        </w:rPr>
        <w:t>7.2.</w:t>
      </w:r>
      <w:r>
        <w:rPr>
          <w:lang w:val="sk-SK"/>
        </w:rPr>
        <w:tab/>
        <w:t xml:space="preserve">Poskytovateľ nezodpovedá za žiadnu škodu, ktorá vznikla prevádzkovateľovi na úseku dohľadu nad ochranou osobných údajov prostredníctvom ním určenej zodpovednej osoby ak: </w:t>
      </w:r>
    </w:p>
    <w:p>
      <w:pPr>
        <w:pStyle w:val="Normal"/>
        <w:numPr>
          <w:ilvl w:val="0"/>
          <w:numId w:val="7"/>
        </w:numPr>
        <w:ind w:left="1134" w:hanging="425"/>
        <w:jc w:val="both"/>
        <w:rPr>
          <w:lang w:val="sk-SK"/>
        </w:rPr>
      </w:pPr>
      <w:r>
        <w:rPr>
          <w:lang w:val="sk-SK"/>
        </w:rPr>
        <w:t>prevádzkovateľ porušil vo vzťahu k poskytovateľovi / zodpovednej osobe / povinnosť riadnej a včasnej súčinnosti</w:t>
      </w:r>
    </w:p>
    <w:p>
      <w:pPr>
        <w:pStyle w:val="Normal"/>
        <w:numPr>
          <w:ilvl w:val="0"/>
          <w:numId w:val="7"/>
        </w:numPr>
        <w:ind w:left="1134" w:hanging="425"/>
        <w:jc w:val="both"/>
        <w:rPr>
          <w:lang w:val="sk-SK"/>
        </w:rPr>
      </w:pPr>
      <w:r>
        <w:rPr>
          <w:lang w:val="sk-SK"/>
        </w:rPr>
        <w:t xml:space="preserve">prevádzkovateľ napriek písomnému oznámeniu zodpovednej osoby neprijal ňou určené opatrenia na úseku ochrany osobných údajov, resp. neodstránil ním zistené nedostatky </w:t>
      </w:r>
    </w:p>
    <w:p>
      <w:pPr>
        <w:pStyle w:val="Normal"/>
        <w:numPr>
          <w:ilvl w:val="0"/>
          <w:numId w:val="7"/>
        </w:numPr>
        <w:ind w:left="1134" w:hanging="425"/>
        <w:jc w:val="both"/>
        <w:rPr>
          <w:lang w:val="sk-SK"/>
        </w:rPr>
      </w:pPr>
      <w:r>
        <w:rPr>
          <w:lang w:val="sk-SK"/>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pPr>
        <w:pStyle w:val="Normal"/>
        <w:jc w:val="both"/>
        <w:rPr>
          <w:lang w:val="sk-SK"/>
        </w:rPr>
      </w:pPr>
      <w:r>
        <w:rPr>
          <w:lang w:val="sk-SK"/>
        </w:rPr>
      </w:r>
    </w:p>
    <w:p>
      <w:pPr>
        <w:pStyle w:val="Normal"/>
        <w:ind w:left="426" w:hanging="426"/>
        <w:jc w:val="both"/>
        <w:rPr>
          <w:lang w:val="sk-SK"/>
        </w:rPr>
      </w:pPr>
      <w:r>
        <w:rPr>
          <w:b/>
          <w:lang w:val="sk-SK"/>
        </w:rPr>
        <w:t>7.3.</w:t>
      </w:r>
      <w:r>
        <w:rPr>
          <w:lang w:val="sk-SK"/>
        </w:rPr>
        <w:tab/>
        <w:t>Nie je porušením žiadnej zmluvnej povinnosti zo strany poskytovateľa / zodpovednej osoby / ak tá je výsledkom jej omisívneho konania po dobu, kedy bol prevádzkovateľ v omeškaní s odplatou pre poskytovateľa.</w:t>
      </w:r>
    </w:p>
    <w:p>
      <w:pPr>
        <w:pStyle w:val="Normal"/>
        <w:jc w:val="both"/>
        <w:rPr>
          <w:lang w:val="sk-SK"/>
        </w:rPr>
      </w:pPr>
      <w:r>
        <w:rPr>
          <w:lang w:val="sk-SK"/>
        </w:rPr>
      </w:r>
    </w:p>
    <w:p>
      <w:pPr>
        <w:pStyle w:val="Normal"/>
        <w:jc w:val="center"/>
        <w:rPr>
          <w:b/>
          <w:b/>
          <w:lang w:val="sk-SK"/>
        </w:rPr>
      </w:pPr>
      <w:r>
        <w:rPr>
          <w:b/>
          <w:lang w:val="sk-SK"/>
        </w:rPr>
        <w:t>čl. VIII.</w:t>
      </w:r>
    </w:p>
    <w:p>
      <w:pPr>
        <w:pStyle w:val="Normal"/>
        <w:jc w:val="center"/>
        <w:rPr>
          <w:b/>
          <w:b/>
          <w:lang w:val="sk-SK"/>
        </w:rPr>
      </w:pPr>
      <w:r>
        <w:rPr>
          <w:b/>
          <w:lang w:val="sk-SK"/>
        </w:rPr>
        <w:t>Odplata a platobné podmienky</w:t>
      </w:r>
    </w:p>
    <w:p>
      <w:pPr>
        <w:pStyle w:val="Normal"/>
        <w:jc w:val="center"/>
        <w:rPr>
          <w:b/>
          <w:b/>
          <w:lang w:val="sk-SK"/>
        </w:rPr>
      </w:pPr>
      <w:r>
        <w:rPr>
          <w:b/>
          <w:lang w:val="sk-SK"/>
        </w:rPr>
      </w:r>
    </w:p>
    <w:p>
      <w:pPr>
        <w:pStyle w:val="Normal"/>
        <w:suppressAutoHyphens w:val="false"/>
        <w:ind w:left="426" w:hanging="426"/>
        <w:jc w:val="both"/>
        <w:rPr>
          <w:rFonts w:eastAsia="Palatino Linotype"/>
          <w:color w:val="000000"/>
          <w:lang w:val="sk-SK" w:eastAsia="sk-SK"/>
        </w:rPr>
      </w:pPr>
      <w:r>
        <w:rPr>
          <w:rFonts w:eastAsia="Palatino Linotype"/>
          <w:b/>
          <w:color w:val="000000"/>
          <w:lang w:val="sk-SK" w:eastAsia="sk-SK"/>
        </w:rPr>
        <w:t>8.1</w:t>
      </w:r>
      <w:r>
        <w:rPr>
          <w:rFonts w:eastAsia="Palatino Linotype"/>
          <w:color w:val="000000"/>
          <w:lang w:val="sk-SK" w:eastAsia="sk-SK"/>
        </w:rPr>
        <w:t xml:space="preserve">. Za zabezpečenie výkonu činnosti zodpovednej osoby prináleží poskytovateľovi pravidelná paušálna mesačná odplata vo výške: </w:t>
      </w:r>
      <w:r>
        <w:rPr>
          <w:rFonts w:eastAsia="Palatino Linotype"/>
          <w:b/>
          <w:color w:val="000000"/>
          <w:lang w:val="sk-SK" w:eastAsia="sk-SK"/>
        </w:rPr>
        <w:t>35,00,- EUR</w:t>
      </w:r>
      <w:r>
        <w:rPr>
          <w:rFonts w:eastAsia="Palatino Linotype"/>
          <w:color w:val="000000"/>
          <w:lang w:val="sk-SK" w:eastAsia="sk-SK"/>
        </w:rPr>
        <w:t xml:space="preserve"> (slovom: tridsaťpäťeur).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 7,00,- EUR, t. j. odplata vrátane DPH je </w:t>
      </w:r>
      <w:r>
        <w:rPr>
          <w:rFonts w:eastAsia="Palatino Linotype"/>
          <w:b/>
          <w:color w:val="000000"/>
          <w:lang w:val="sk-SK" w:eastAsia="sk-SK"/>
        </w:rPr>
        <w:t xml:space="preserve">42,00,- EUR. </w:t>
      </w:r>
      <w:r>
        <w:rPr>
          <w:rFonts w:eastAsia="Palatino Linotype"/>
          <w:color w:val="000000"/>
          <w:lang w:val="sk-SK" w:eastAsia="sk-SK"/>
        </w:rPr>
        <w:t xml:space="preserve">Úhradu dojednanej odplaty za daný mesiac, si bude poskytovateľ uplatňovať elektronickou faktúrou (daňovým dokladom), ktorú vystaví a odošle vždy najneskôr do posledného  dňa v mesiaci za ktorý je odplata účtovaná s povinnosťou doručiť ju s poukazom na bod 8.1.1 - 8.1.8 bez zbytočného odkladu prevádzkovateľovi. </w:t>
      </w:r>
    </w:p>
    <w:p>
      <w:pPr>
        <w:pStyle w:val="Normal"/>
        <w:suppressAutoHyphens w:val="false"/>
        <w:ind w:left="426" w:hanging="426"/>
        <w:jc w:val="both"/>
        <w:rPr>
          <w:rFonts w:eastAsia="Palatino Linotype"/>
          <w:color w:val="000000"/>
          <w:lang w:val="sk-SK" w:eastAsia="sk-SK"/>
        </w:rPr>
      </w:pPr>
      <w:r>
        <w:rPr>
          <w:rFonts w:eastAsia="Palatino Linotype"/>
          <w:color w:val="000000"/>
          <w:lang w:val="sk-SK" w:eastAsia="sk-SK"/>
        </w:rPr>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t>8.1.1    Prevádzkovateľ podľa zákona o dani z pridanej hodnoty č. 222/2004 Z. z. v platnom znení (ďalej len ,,zákon o dani z pridanej hodnoty“) súhlasí s tým, že poskytovateľ bude zasielať elektronické faktúry za poskytované služby vo formáte PDF prostredníctvom elektronickej pošty na e-mailovú adresu prevádzkovateľa.</w:t>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t xml:space="preserve"> </w:t>
      </w:r>
    </w:p>
    <w:p>
      <w:pPr>
        <w:pStyle w:val="Normal"/>
        <w:suppressAutoHyphens w:val="false"/>
        <w:ind w:left="1146" w:hanging="425"/>
        <w:jc w:val="both"/>
        <w:rPr>
          <w:rFonts w:eastAsia="Palatino Linotype"/>
          <w:color w:val="000000"/>
          <w:lang w:val="sk-SK" w:eastAsia="sk-SK"/>
        </w:rPr>
      </w:pPr>
      <w:r>
        <w:rPr>
          <w:rFonts w:eastAsia="Palatino Linotype"/>
          <w:color w:val="000000"/>
          <w:lang w:val="sk-SK" w:eastAsia="sk-SK"/>
        </w:rPr>
        <w:t>8.1.2     Elektronická faktúra je plnohodnotnou náhradou faktúry v papierovej forme.</w:t>
      </w:r>
    </w:p>
    <w:p>
      <w:pPr>
        <w:pStyle w:val="Normal"/>
        <w:suppressAutoHyphens w:val="false"/>
        <w:ind w:left="1146" w:hanging="425"/>
        <w:jc w:val="both"/>
        <w:rPr>
          <w:rFonts w:eastAsia="Palatino Linotype"/>
          <w:color w:val="000000"/>
          <w:lang w:val="sk-SK" w:eastAsia="sk-SK"/>
        </w:rPr>
      </w:pPr>
      <w:r>
        <w:rPr>
          <w:rFonts w:eastAsia="Palatino Linotype"/>
          <w:color w:val="000000"/>
          <w:lang w:val="sk-SK" w:eastAsia="sk-SK"/>
        </w:rPr>
      </w:r>
    </w:p>
    <w:p>
      <w:pPr>
        <w:pStyle w:val="Normal"/>
        <w:suppressAutoHyphens w:val="false"/>
        <w:ind w:left="1146" w:hanging="425"/>
        <w:jc w:val="both"/>
        <w:rPr>
          <w:rFonts w:eastAsia="Palatino Linotype"/>
          <w:color w:val="000000"/>
          <w:lang w:val="sk-SK" w:eastAsia="sk-SK"/>
        </w:rPr>
      </w:pPr>
      <w:r>
        <w:rPr>
          <w:rFonts w:eastAsia="Palatino Linotype"/>
          <w:color w:val="000000"/>
          <w:lang w:val="sk-SK" w:eastAsia="sk-SK"/>
        </w:rPr>
        <w:t>8.1.3</w:t>
        <w:tab/>
        <w:t xml:space="preserve">     Elektronická faktúra je faktúra, ktorá obsahuje všetky náležitosti stanovené zákonom.</w:t>
      </w:r>
    </w:p>
    <w:p>
      <w:pPr>
        <w:pStyle w:val="Normal"/>
        <w:suppressAutoHyphens w:val="false"/>
        <w:ind w:left="1146" w:hanging="425"/>
        <w:jc w:val="both"/>
        <w:rPr>
          <w:rFonts w:eastAsia="Palatino Linotype"/>
          <w:color w:val="000000"/>
          <w:lang w:val="sk-SK" w:eastAsia="sk-SK"/>
        </w:rPr>
      </w:pPr>
      <w:r>
        <w:rPr>
          <w:rFonts w:eastAsia="Palatino Linotype"/>
          <w:color w:val="000000"/>
          <w:lang w:val="sk-SK" w:eastAsia="sk-SK"/>
        </w:rPr>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t xml:space="preserve">8.1.4  </w:t>
        <w:tab/>
        <w:t xml:space="preserve">Prevádzkovateľ vyhlasuje, že má výlučný prístup k e-mailovej adrese. </w:t>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t xml:space="preserve">8.1.5    </w:t>
        <w:tab/>
        <w:t>Prevádzkovateľ súhlasí, že v prípade pochybností sa elektronická faktúra považuje za doručenú po uplynutí troch dní odo dňa preukázateľného odoslania dokladu prevádzkovateľovi. V prípade, ak prevádzkovateľ neobdrží elektronickú faktúru v obvyklom čase, je povinný oznámiť túto skutočnosť poskytovateľovi. V prípade, že poskytovateľ neobdrží oznámenie, považuje elektronickú faktúru za doručenú.</w:t>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t xml:space="preserve">8.1.6  </w:t>
        <w:tab/>
        <w:t>Prevádzkovateľ sa zaväzuje bezodkladne oznámiť dodávateľovi zmenu e-mailovej adresy prípadne akékoľvek zmeny, ktoré môžu mať vplyv na doručovanie elektronickej faktúry podľa týchto podmienok.</w:t>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t>8.1.7</w:t>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r>
    </w:p>
    <w:p>
      <w:pPr>
        <w:pStyle w:val="Normal"/>
        <w:suppressAutoHyphens w:val="false"/>
        <w:ind w:left="1400" w:hanging="700"/>
        <w:jc w:val="both"/>
        <w:rPr>
          <w:rFonts w:eastAsia="Palatino Linotype"/>
          <w:color w:val="000000"/>
          <w:lang w:val="sk-SK" w:eastAsia="sk-SK"/>
        </w:rPr>
      </w:pPr>
      <w:r>
        <w:rPr>
          <w:rFonts w:eastAsia="Palatino Linotype"/>
          <w:color w:val="000000"/>
          <w:lang w:val="sk-SK" w:eastAsia="sk-SK"/>
        </w:rPr>
        <w:t xml:space="preserve">8.1.8   </w:t>
        <w:tab/>
        <w:t>Prevádzkovateľ vyhlasuje, že súhlasí s podmienkami na zasielanie elektronickej faktúry, s ktorými sa oboznámil a plne im porozumel. Tieto podmienky tvoria neoddeliteľnú súčasť tejto zmluvy.</w:t>
      </w:r>
    </w:p>
    <w:p>
      <w:pPr>
        <w:pStyle w:val="Normal"/>
        <w:ind w:left="426" w:hanging="426"/>
        <w:jc w:val="both"/>
        <w:rPr>
          <w:lang w:val="sk-SK"/>
        </w:rPr>
      </w:pPr>
      <w:r>
        <w:rPr>
          <w:lang w:val="sk-SK"/>
        </w:rPr>
      </w:r>
    </w:p>
    <w:p>
      <w:pPr>
        <w:pStyle w:val="Normal"/>
        <w:ind w:left="426" w:hanging="426"/>
        <w:jc w:val="both"/>
        <w:rPr>
          <w:lang w:val="sk-SK"/>
        </w:rPr>
      </w:pPr>
      <w:r>
        <w:rPr>
          <w:rFonts w:cs="ArialMT"/>
          <w:b/>
          <w:lang w:val="sk-SK"/>
        </w:rPr>
        <w:t>8.2.</w:t>
      </w:r>
      <w:r>
        <w:rPr>
          <w:rFonts w:cs="ArialMT"/>
          <w:lang w:val="sk-SK"/>
        </w:rPr>
        <w:tab/>
        <w:t>Na vykonanie počiatočného auditu a vypracovanie príslušnej potrebnej dokumentácie v súvislosti s naplnením požiadaviek podľa nariadenia GDPR a zákona č. 18/2018 Z. z. o ochrane osobných údajov a o zmene a doplnení niektorých zákonov a jej prispôsobenia prípadnej novej právnej úprave / právne predpisy EÚ, zákony, nariadenia, vyhlášky, výnosy, opatrenia / sa poskytovateľ zaväzuje poskytnúť prevádzkovateľovi zľavu vo výške 100% . Prevádzkovateľ má na uvedenú zľavu nárok, ak v zmluvnom vzťahu o zabezpečenie výkonu zodpovednej osoby s poskytovateľom zotrvá minimálne jeden rok súvisle a nepretržite odo dňa platnosti tejto zmluvy. V opačnom prípade je prevádzkovateľ povinný nahradiť poskytovateľovi všetky výdavky spojené s vykonaním týchto úkonov (s výnimkou ukončenia zmluvy podľa bodu 10.2. tejto zmluvy), najneskôr v lehote splatnosti doručenej faktúry.</w:t>
      </w:r>
    </w:p>
    <w:p>
      <w:pPr>
        <w:pStyle w:val="Normal"/>
        <w:ind w:left="426" w:hanging="426"/>
        <w:jc w:val="both"/>
        <w:rPr>
          <w:color w:val="FF0000"/>
          <w:lang w:val="sk-SK"/>
        </w:rPr>
      </w:pPr>
      <w:r>
        <w:rPr>
          <w:color w:val="FF0000"/>
          <w:lang w:val="sk-SK"/>
        </w:rPr>
      </w:r>
    </w:p>
    <w:p>
      <w:pPr>
        <w:pStyle w:val="Normal"/>
        <w:ind w:left="426" w:hanging="426"/>
        <w:jc w:val="both"/>
        <w:rPr>
          <w:lang w:val="sk-SK"/>
        </w:rPr>
      </w:pPr>
      <w:r>
        <w:rPr>
          <w:b/>
          <w:lang w:val="sk-SK"/>
        </w:rPr>
        <w:t>8.3.</w:t>
      </w:r>
      <w:r>
        <w:rPr>
          <w:lang w:val="sk-SK"/>
        </w:rPr>
        <w:tab/>
        <w:t>Splatnosť fakturovanej odplaty je dojednaná na 7 dní od doručenia faktúry.</w:t>
      </w:r>
    </w:p>
    <w:p>
      <w:pPr>
        <w:pStyle w:val="Normal"/>
        <w:ind w:left="426" w:hanging="426"/>
        <w:jc w:val="both"/>
        <w:rPr>
          <w:lang w:val="sk-SK"/>
        </w:rPr>
      </w:pPr>
      <w:r>
        <w:rPr>
          <w:lang w:val="sk-SK"/>
        </w:rPr>
      </w:r>
    </w:p>
    <w:p>
      <w:pPr>
        <w:pStyle w:val="Normal"/>
        <w:ind w:left="426" w:hanging="426"/>
        <w:jc w:val="both"/>
        <w:rPr>
          <w:lang w:val="sk-SK"/>
        </w:rPr>
      </w:pPr>
      <w:r>
        <w:rPr>
          <w:b/>
          <w:lang w:val="sk-SK"/>
        </w:rPr>
        <w:t>8.4.</w:t>
      </w:r>
      <w:r>
        <w:rPr>
          <w:lang w:val="sk-SK"/>
        </w:rPr>
        <w:tab/>
        <w:t xml:space="preserve">Omeškanie sa prevádzkovateľa s úhradou odplaty zakladá právo poskytovateľa na uplatnenie si úrokov z omeškania v zákonnej výške platnej k počiatočnému dňu omeškania prevádzkovateľa.   </w:t>
      </w:r>
    </w:p>
    <w:p>
      <w:pPr>
        <w:pStyle w:val="Normal"/>
        <w:ind w:left="426" w:hanging="426"/>
        <w:jc w:val="both"/>
        <w:rPr>
          <w:lang w:val="sk-SK"/>
        </w:rPr>
      </w:pPr>
      <w:r>
        <w:rPr>
          <w:lang w:val="sk-SK"/>
        </w:rPr>
      </w:r>
    </w:p>
    <w:p>
      <w:pPr>
        <w:pStyle w:val="Normal"/>
        <w:ind w:left="426" w:hanging="426"/>
        <w:jc w:val="both"/>
        <w:rPr>
          <w:lang w:val="sk-SK"/>
        </w:rPr>
      </w:pPr>
      <w:r>
        <w:rPr>
          <w:b/>
          <w:lang w:val="sk-SK"/>
        </w:rPr>
        <w:t>8.5.</w:t>
      </w:r>
      <w:r>
        <w:rPr>
          <w:lang w:val="sk-SK"/>
        </w:rPr>
        <w:tab/>
        <w:t xml:space="preserve">Pokiaľ počas trvania zmluvy dôjde k zmene zákona,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prevádzkovateľovi plniť povinnosti uložené alebo zmenené zákonom v znení jeho novely prijatej po uzatvorení tejto zmluvy.  </w:t>
      </w:r>
    </w:p>
    <w:p>
      <w:pPr>
        <w:pStyle w:val="Normal"/>
        <w:ind w:left="426" w:hanging="426"/>
        <w:jc w:val="both"/>
        <w:rPr>
          <w:lang w:val="sk-SK"/>
        </w:rPr>
      </w:pPr>
      <w:r>
        <w:rPr>
          <w:lang w:val="sk-SK"/>
        </w:rPr>
      </w:r>
    </w:p>
    <w:p>
      <w:pPr>
        <w:pStyle w:val="Normal"/>
        <w:ind w:left="426" w:hanging="426"/>
        <w:jc w:val="both"/>
        <w:rPr>
          <w:lang w:val="sk-SK"/>
        </w:rPr>
      </w:pPr>
      <w:r>
        <w:rPr>
          <w:b/>
          <w:lang w:val="sk-SK"/>
        </w:rPr>
        <w:t>8.6.</w:t>
      </w:r>
      <w:r>
        <w:rPr>
          <w:lang w:val="sk-SK"/>
        </w:rPr>
        <w:tab/>
        <w:t xml:space="preserve">Výkon činnosti zodpovednej osoby priamo v sídle prevádzkovateľa je v zmysle tejto zmluvy dojednaný počas prvého roka v rozsahu /intervale/ </w:t>
      </w:r>
      <w:r>
        <w:rPr>
          <w:shd w:fill="FFFFFF" w:val="clear"/>
          <w:lang w:val="sk-SK"/>
        </w:rPr>
        <w:t xml:space="preserve">: </w:t>
      </w:r>
      <w:r>
        <w:rPr>
          <w:b/>
          <w:shd w:fill="FFFFFF" w:val="clear"/>
          <w:lang w:val="sk-SK"/>
        </w:rPr>
        <w:t>1-2 krát za rok</w:t>
      </w:r>
      <w:r>
        <w:rPr>
          <w:shd w:fill="FFFFFF" w:val="clear"/>
          <w:lang w:val="sk-SK"/>
        </w:rPr>
        <w:t xml:space="preserve"> v sídle</w:t>
      </w:r>
      <w:r>
        <w:rPr>
          <w:lang w:val="sk-SK"/>
        </w:rPr>
        <w:t xml:space="preserve"> spoločnosti s predpokladanou jednorazovou obvyklou dĺžkou 2 – 4 hodín.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pPr>
        <w:pStyle w:val="Normal"/>
        <w:ind w:left="426" w:hanging="426"/>
        <w:jc w:val="both"/>
        <w:rPr>
          <w:lang w:val="sk-SK"/>
        </w:rPr>
      </w:pPr>
      <w:r>
        <w:rPr>
          <w:lang w:val="sk-SK"/>
        </w:rPr>
      </w:r>
    </w:p>
    <w:p>
      <w:pPr>
        <w:pStyle w:val="Normal"/>
        <w:ind w:left="426" w:hanging="426"/>
        <w:jc w:val="both"/>
        <w:rPr>
          <w:lang w:val="sk-SK"/>
        </w:rPr>
      </w:pPr>
      <w:r>
        <w:rPr>
          <w:b/>
          <w:lang w:val="sk-SK"/>
        </w:rPr>
        <w:t>8.7.</w:t>
      </w:r>
      <w:r>
        <w:rPr>
          <w:lang w:val="sk-SK"/>
        </w:rPr>
        <w:tab/>
        <w:t>Počas výkonu činnosti zodpovednej osoby u prevádzkovateľa v zmysle stretnutia dojednaného podľa bodu 8.6., budú zo strany zodpovednej osoby vykonané najmä nasledovné úkony:</w:t>
      </w:r>
    </w:p>
    <w:p>
      <w:pPr>
        <w:pStyle w:val="Normal"/>
        <w:numPr>
          <w:ilvl w:val="0"/>
          <w:numId w:val="4"/>
        </w:numPr>
        <w:ind w:left="1134" w:hanging="425"/>
        <w:jc w:val="both"/>
        <w:rPr>
          <w:lang w:val="sk-SK"/>
        </w:rPr>
      </w:pPr>
      <w:r>
        <w:rPr>
          <w:lang w:val="sk-SK"/>
        </w:rPr>
        <w:t xml:space="preserve">analýza informačných systémov prevádzkovateľa z pohľadu zákona, </w:t>
      </w:r>
    </w:p>
    <w:p>
      <w:pPr>
        <w:pStyle w:val="Normal"/>
        <w:numPr>
          <w:ilvl w:val="0"/>
          <w:numId w:val="4"/>
        </w:numPr>
        <w:ind w:left="1134" w:hanging="425"/>
        <w:jc w:val="both"/>
        <w:rPr>
          <w:lang w:val="sk-SK"/>
        </w:rPr>
      </w:pPr>
      <w:r>
        <w:rPr>
          <w:lang w:val="sk-SK"/>
        </w:rPr>
        <w:t>splnenia si povinnosti o poučení oprávnených osôb,</w:t>
      </w:r>
    </w:p>
    <w:p>
      <w:pPr>
        <w:pStyle w:val="Normal"/>
        <w:numPr>
          <w:ilvl w:val="0"/>
          <w:numId w:val="4"/>
        </w:numPr>
        <w:ind w:left="1134" w:hanging="425"/>
        <w:jc w:val="both"/>
        <w:rPr>
          <w:lang w:val="sk-SK"/>
        </w:rPr>
      </w:pPr>
      <w:r>
        <w:rPr>
          <w:lang w:val="sk-SK"/>
        </w:rPr>
        <w:t>kompletizácia písomností, ktoré v rámci prípadnej ohlásenej kontroly žiadal úrad predložiť,</w:t>
      </w:r>
    </w:p>
    <w:p>
      <w:pPr>
        <w:pStyle w:val="Normal"/>
        <w:numPr>
          <w:ilvl w:val="0"/>
          <w:numId w:val="4"/>
        </w:numPr>
        <w:ind w:left="1134" w:hanging="425"/>
        <w:jc w:val="both"/>
        <w:rPr>
          <w:lang w:val="sk-SK"/>
        </w:rPr>
      </w:pPr>
      <w:r>
        <w:rPr>
          <w:lang w:val="sk-SK"/>
        </w:rPr>
        <w:t>vybavovanie žiadostí v súlade s čl V. zmluvy.</w:t>
      </w:r>
    </w:p>
    <w:p>
      <w:pPr>
        <w:pStyle w:val="Normal"/>
        <w:ind w:left="426" w:hanging="426"/>
        <w:jc w:val="both"/>
        <w:rPr>
          <w:lang w:val="sk-SK"/>
        </w:rPr>
      </w:pPr>
      <w:r>
        <w:rPr>
          <w:lang w:val="sk-SK"/>
        </w:rPr>
      </w:r>
    </w:p>
    <w:p>
      <w:pPr>
        <w:pStyle w:val="Normal"/>
        <w:ind w:left="426" w:hanging="426"/>
        <w:jc w:val="both"/>
        <w:rPr>
          <w:lang w:val="sk-SK"/>
        </w:rPr>
      </w:pPr>
      <w:r>
        <w:rPr>
          <w:b/>
          <w:lang w:val="sk-SK"/>
        </w:rPr>
        <w:t>8.8.</w:t>
      </w:r>
      <w:r>
        <w:rPr>
          <w:lang w:val="sk-SK"/>
        </w:rPr>
        <w:tab/>
        <w:t xml:space="preserve">Podmienky a odplata za prítomnosť zodpovednej osoby priamo u prevádzkovateľa požadovaná z jeho strany nad rámec intervalu uvedeného v bode 8.6. bude predmetom osobitného dojednania medzi zmluvnými stranami. </w:t>
      </w:r>
    </w:p>
    <w:p>
      <w:pPr>
        <w:pStyle w:val="Normal"/>
        <w:ind w:left="426" w:hanging="426"/>
        <w:jc w:val="both"/>
        <w:rPr>
          <w:lang w:val="sk-SK"/>
        </w:rPr>
      </w:pPr>
      <w:r>
        <w:rPr>
          <w:lang w:val="sk-SK"/>
        </w:rPr>
      </w:r>
    </w:p>
    <w:p>
      <w:pPr>
        <w:pStyle w:val="Normal"/>
        <w:ind w:left="426" w:hanging="426"/>
        <w:jc w:val="both"/>
        <w:rPr>
          <w:lang w:val="sk-SK"/>
        </w:rPr>
      </w:pPr>
      <w:r>
        <w:rPr>
          <w:b/>
          <w:lang w:val="sk-SK"/>
        </w:rPr>
        <w:t>8.9.</w:t>
        <w:tab/>
      </w:r>
      <w:r>
        <w:rPr>
          <w:lang w:val="sk-SK"/>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pPr>
        <w:pStyle w:val="Normal"/>
        <w:jc w:val="both"/>
        <w:rPr>
          <w:lang w:val="sk-SK"/>
        </w:rPr>
      </w:pPr>
      <w:r>
        <w:rPr>
          <w:lang w:val="sk-SK"/>
        </w:rPr>
      </w:r>
    </w:p>
    <w:p>
      <w:pPr>
        <w:pStyle w:val="Normal"/>
        <w:jc w:val="center"/>
        <w:rPr>
          <w:b/>
          <w:b/>
          <w:lang w:val="sk-SK"/>
        </w:rPr>
      </w:pPr>
      <w:r>
        <w:rPr>
          <w:b/>
          <w:lang w:val="sk-SK"/>
        </w:rPr>
        <w:t>čl. IX.</w:t>
      </w:r>
    </w:p>
    <w:p>
      <w:pPr>
        <w:pStyle w:val="Normal"/>
        <w:jc w:val="center"/>
        <w:rPr>
          <w:b/>
          <w:b/>
          <w:lang w:val="sk-SK"/>
        </w:rPr>
      </w:pPr>
      <w:r>
        <w:rPr>
          <w:b/>
          <w:lang w:val="sk-SK"/>
        </w:rPr>
        <w:t>Autorskoprávna ochrana</w:t>
      </w:r>
    </w:p>
    <w:p>
      <w:pPr>
        <w:pStyle w:val="Normal"/>
        <w:jc w:val="center"/>
        <w:rPr>
          <w:b/>
          <w:b/>
          <w:lang w:val="sk-SK"/>
        </w:rPr>
      </w:pPr>
      <w:r>
        <w:rPr>
          <w:b/>
          <w:lang w:val="sk-SK"/>
        </w:rPr>
      </w:r>
    </w:p>
    <w:p>
      <w:pPr>
        <w:pStyle w:val="Normal"/>
        <w:ind w:left="426" w:hanging="426"/>
        <w:jc w:val="both"/>
        <w:rPr>
          <w:lang w:val="sk-SK"/>
        </w:rPr>
      </w:pPr>
      <w:r>
        <w:rPr>
          <w:b/>
          <w:lang w:val="sk-SK"/>
        </w:rPr>
        <w:t>9.1.</w:t>
      </w:r>
      <w:r>
        <w:rPr>
          <w:lang w:val="sk-SK"/>
        </w:rPr>
        <w:tab/>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pPr>
        <w:pStyle w:val="Normal"/>
        <w:ind w:left="426" w:hanging="426"/>
        <w:jc w:val="both"/>
        <w:rPr>
          <w:lang w:val="sk-SK"/>
        </w:rPr>
      </w:pPr>
      <w:r>
        <w:rPr>
          <w:lang w:val="sk-SK"/>
        </w:rPr>
      </w:r>
    </w:p>
    <w:p>
      <w:pPr>
        <w:pStyle w:val="Normal"/>
        <w:ind w:left="426" w:hanging="426"/>
        <w:jc w:val="both"/>
        <w:rPr>
          <w:lang w:val="sk-SK"/>
        </w:rPr>
      </w:pPr>
      <w:r>
        <w:rPr>
          <w:b/>
          <w:lang w:val="sk-SK"/>
        </w:rPr>
        <w:t>9.2.</w:t>
      </w:r>
      <w:r>
        <w:rPr>
          <w:lang w:val="sk-SK"/>
        </w:rPr>
        <w:tab/>
        <w:t>Pokiaľ by pokyn poskytovateľa a zodpovednej osoby boli vo vzájomnom rozpore, je pre prevádzkovateľa záväzný pokyn  - rozsah, ktorý pre použitie diela určí poskytovateľ.</w:t>
      </w:r>
    </w:p>
    <w:p>
      <w:pPr>
        <w:pStyle w:val="Normal"/>
        <w:ind w:left="426" w:hanging="426"/>
        <w:jc w:val="both"/>
        <w:rPr>
          <w:b/>
          <w:b/>
          <w:lang w:val="sk-SK"/>
        </w:rPr>
      </w:pPr>
      <w:r>
        <w:rPr>
          <w:b/>
          <w:lang w:val="sk-SK"/>
        </w:rPr>
      </w:r>
    </w:p>
    <w:p>
      <w:pPr>
        <w:pStyle w:val="Normal"/>
        <w:jc w:val="center"/>
        <w:rPr>
          <w:b/>
          <w:b/>
          <w:lang w:val="sk-SK"/>
        </w:rPr>
      </w:pPr>
      <w:r>
        <w:rPr>
          <w:b/>
          <w:lang w:val="sk-SK"/>
        </w:rPr>
      </w:r>
    </w:p>
    <w:p>
      <w:pPr>
        <w:pStyle w:val="Normal"/>
        <w:jc w:val="center"/>
        <w:rPr>
          <w:b/>
          <w:b/>
          <w:lang w:val="sk-SK"/>
        </w:rPr>
      </w:pPr>
      <w:r>
        <w:rPr>
          <w:b/>
          <w:lang w:val="sk-SK"/>
        </w:rPr>
        <w:t>čl. X.</w:t>
      </w:r>
    </w:p>
    <w:p>
      <w:pPr>
        <w:pStyle w:val="Normal"/>
        <w:jc w:val="center"/>
        <w:rPr>
          <w:b/>
          <w:b/>
          <w:lang w:val="sk-SK"/>
        </w:rPr>
      </w:pPr>
      <w:r>
        <w:rPr>
          <w:b/>
          <w:lang w:val="sk-SK"/>
        </w:rPr>
        <w:t>Doba trvania zmluvy</w:t>
      </w:r>
    </w:p>
    <w:p>
      <w:pPr>
        <w:pStyle w:val="Normal"/>
        <w:jc w:val="center"/>
        <w:rPr>
          <w:b/>
          <w:b/>
          <w:lang w:val="sk-SK"/>
        </w:rPr>
      </w:pPr>
      <w:r>
        <w:rPr>
          <w:b/>
          <w:lang w:val="sk-SK"/>
        </w:rPr>
      </w:r>
    </w:p>
    <w:p>
      <w:pPr>
        <w:pStyle w:val="Normal"/>
        <w:numPr>
          <w:ilvl w:val="1"/>
          <w:numId w:val="11"/>
        </w:numPr>
        <w:suppressAutoHyphens w:val="false"/>
        <w:jc w:val="both"/>
        <w:rPr>
          <w:rFonts w:eastAsia="Palatino Linotype"/>
          <w:color w:val="000000"/>
          <w:lang w:val="sk-SK" w:eastAsia="sk-SK"/>
        </w:rPr>
      </w:pPr>
      <w:r>
        <w:rPr>
          <w:rFonts w:eastAsia="Palatino Linotype"/>
          <w:color w:val="000000"/>
          <w:lang w:val="sk-SK" w:eastAsia="sk-SK"/>
        </w:rPr>
        <w:t xml:space="preserve">Táto zmluva sa uzatvára </w:t>
      </w:r>
      <w:r>
        <w:rPr>
          <w:rFonts w:eastAsia="Palatino Linotype"/>
          <w:b/>
          <w:color w:val="000000"/>
          <w:lang w:val="sk-SK" w:eastAsia="sk-SK"/>
        </w:rPr>
        <w:t xml:space="preserve">na dobu neurčitú. </w:t>
      </w:r>
      <w:r>
        <w:rPr>
          <w:rFonts w:eastAsia="Palatino Linotype"/>
          <w:color w:val="000000"/>
          <w:lang w:val="sk-SK" w:eastAsia="sk-SK"/>
        </w:rPr>
        <w:t>Z vôle zmluvných strán je možné túto dobu skrátiť alebo zmeniť na dobu určitú a to písomným dodatkom k tejto zmluve podpísaným oboma zmluvnými stranami.</w:t>
      </w:r>
    </w:p>
    <w:p>
      <w:pPr>
        <w:pStyle w:val="Normal"/>
        <w:suppressAutoHyphens w:val="false"/>
        <w:ind w:left="450" w:hanging="0"/>
        <w:jc w:val="both"/>
        <w:rPr>
          <w:rFonts w:eastAsia="Palatino Linotype"/>
          <w:color w:val="000000"/>
          <w:lang w:val="sk-SK" w:eastAsia="sk-SK"/>
        </w:rPr>
      </w:pPr>
      <w:r>
        <w:rPr>
          <w:rFonts w:eastAsia="Palatino Linotype"/>
          <w:color w:val="000000"/>
          <w:lang w:val="sk-SK" w:eastAsia="sk-SK"/>
        </w:rPr>
      </w:r>
    </w:p>
    <w:p>
      <w:pPr>
        <w:pStyle w:val="Normal"/>
        <w:numPr>
          <w:ilvl w:val="1"/>
          <w:numId w:val="11"/>
        </w:numPr>
        <w:suppressAutoHyphens w:val="false"/>
        <w:jc w:val="both"/>
        <w:rPr>
          <w:rFonts w:eastAsia="Palatino Linotype"/>
          <w:color w:val="000000"/>
          <w:lang w:val="sk-SK" w:eastAsia="sk-SK"/>
        </w:rPr>
      </w:pPr>
      <w:r>
        <w:rPr>
          <w:rFonts w:eastAsia="Palatino Linotype"/>
          <w:color w:val="000000"/>
          <w:lang w:val="sk-SK" w:eastAsia="sk-SK"/>
        </w:rPr>
        <w:t xml:space="preserve">Zmluva nadobúda </w:t>
      </w:r>
      <w:r>
        <w:rPr>
          <w:rFonts w:eastAsia="Palatino Linotype"/>
          <w:b/>
          <w:color w:val="000000"/>
          <w:lang w:val="sk-SK" w:eastAsia="sk-SK"/>
        </w:rPr>
        <w:t xml:space="preserve">platnosť </w:t>
      </w:r>
      <w:r>
        <w:rPr>
          <w:rFonts w:eastAsia="Palatino Linotype"/>
          <w:color w:val="000000"/>
          <w:lang w:val="sk-SK" w:eastAsia="sk-SK"/>
        </w:rPr>
        <w:t>dňom jej podpísania oboma zmluvnými stranami.</w:t>
      </w:r>
    </w:p>
    <w:p>
      <w:pPr>
        <w:pStyle w:val="Normal"/>
        <w:suppressAutoHyphens w:val="false"/>
        <w:ind w:left="450" w:hanging="0"/>
        <w:jc w:val="both"/>
        <w:rPr>
          <w:rFonts w:eastAsia="Palatino Linotype"/>
          <w:color w:val="000000"/>
          <w:lang w:val="sk-SK" w:eastAsia="sk-SK"/>
        </w:rPr>
      </w:pPr>
      <w:r>
        <w:rPr>
          <w:rFonts w:eastAsia="Palatino Linotype"/>
          <w:color w:val="000000"/>
          <w:lang w:val="sk-SK" w:eastAsia="sk-SK"/>
        </w:rPr>
      </w:r>
    </w:p>
    <w:p>
      <w:pPr>
        <w:pStyle w:val="Normal"/>
        <w:numPr>
          <w:ilvl w:val="1"/>
          <w:numId w:val="11"/>
        </w:numPr>
        <w:suppressAutoHyphens w:val="false"/>
        <w:jc w:val="both"/>
        <w:rPr>
          <w:rFonts w:eastAsia="Palatino Linotype"/>
          <w:color w:val="000000"/>
          <w:lang w:val="sk-SK" w:eastAsia="sk-SK"/>
        </w:rPr>
      </w:pPr>
      <w:r>
        <w:rPr>
          <w:rFonts w:eastAsia="Palatino Linotype"/>
          <w:color w:val="000000"/>
          <w:lang w:val="sk-SK" w:eastAsia="sk-SK"/>
        </w:rPr>
        <w:t xml:space="preserve">V prípade, že prevádzkovateľ má zákonnú povinnosť zverejniť túto zmluvu, musí ju zverejniť do 5 pracovných dní odo dňa jej podpisu oboma zmluvnými stranami. V tomto prípade zmluva nadobúda </w:t>
      </w:r>
      <w:r>
        <w:rPr>
          <w:rFonts w:eastAsia="Palatino Linotype"/>
          <w:b/>
          <w:color w:val="000000"/>
          <w:lang w:val="sk-SK" w:eastAsia="sk-SK"/>
        </w:rPr>
        <w:t>účinnosť</w:t>
      </w:r>
      <w:r>
        <w:rPr>
          <w:rFonts w:eastAsia="Palatino Linotype"/>
          <w:color w:val="000000"/>
          <w:lang w:val="sk-SK" w:eastAsia="sk-SK"/>
        </w:rPr>
        <w:t xml:space="preserve"> dňom po jej zverejnení, najskôr však dňa 25.05.2018.</w:t>
      </w:r>
    </w:p>
    <w:p>
      <w:pPr>
        <w:pStyle w:val="Normal"/>
        <w:suppressAutoHyphens w:val="false"/>
        <w:ind w:left="450" w:hanging="0"/>
        <w:jc w:val="both"/>
        <w:rPr>
          <w:rFonts w:eastAsia="Palatino Linotype"/>
          <w:color w:val="000000"/>
          <w:lang w:val="sk-SK" w:eastAsia="sk-SK"/>
        </w:rPr>
      </w:pPr>
      <w:r>
        <w:rPr>
          <w:rFonts w:eastAsia="Palatino Linotype"/>
          <w:color w:val="000000"/>
          <w:lang w:val="sk-SK" w:eastAsia="sk-SK"/>
        </w:rPr>
      </w:r>
    </w:p>
    <w:p>
      <w:pPr>
        <w:pStyle w:val="Normal"/>
        <w:numPr>
          <w:ilvl w:val="1"/>
          <w:numId w:val="11"/>
        </w:numPr>
        <w:suppressAutoHyphens w:val="false"/>
        <w:jc w:val="both"/>
        <w:rPr>
          <w:rFonts w:eastAsia="Palatino Linotype"/>
          <w:color w:val="000000"/>
          <w:lang w:val="sk-SK" w:eastAsia="sk-SK"/>
        </w:rPr>
      </w:pPr>
      <w:r>
        <w:rPr>
          <w:lang w:val="sk-SK"/>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pPr>
        <w:pStyle w:val="Normal"/>
        <w:suppressAutoHyphens w:val="false"/>
        <w:ind w:left="450" w:hanging="0"/>
        <w:jc w:val="both"/>
        <w:rPr>
          <w:rFonts w:eastAsia="Palatino Linotype"/>
          <w:color w:val="000000"/>
          <w:lang w:val="sk-SK" w:eastAsia="sk-SK"/>
        </w:rPr>
      </w:pPr>
      <w:r>
        <w:rPr>
          <w:rFonts w:eastAsia="Palatino Linotype"/>
          <w:color w:val="000000"/>
          <w:lang w:val="sk-SK" w:eastAsia="sk-SK"/>
        </w:rPr>
      </w:r>
    </w:p>
    <w:p>
      <w:pPr>
        <w:pStyle w:val="Normal"/>
        <w:numPr>
          <w:ilvl w:val="1"/>
          <w:numId w:val="11"/>
        </w:numPr>
        <w:suppressAutoHyphens w:val="false"/>
        <w:jc w:val="both"/>
        <w:rPr>
          <w:rFonts w:eastAsia="Palatino Linotype"/>
          <w:color w:val="000000"/>
          <w:lang w:val="sk-SK" w:eastAsia="sk-SK"/>
        </w:rPr>
      </w:pPr>
      <w:r>
        <w:rPr>
          <w:lang w:val="sk-SK"/>
        </w:rPr>
        <w:t xml:space="preserve">Každá zo zmluvných strán je oprávnená zmluvu ukončiť výpoveďou aj bez uvedenia dôvodu. Výpovedná lehota je 2 kalendárne mesiace počítané od prvého dňa mesiaca nasledujúceho po mesiaci v ktorom bola výpoveď doručená druhej zmluvnej strane. </w:t>
      </w:r>
    </w:p>
    <w:p>
      <w:pPr>
        <w:pStyle w:val="Normal"/>
        <w:suppressAutoHyphens w:val="false"/>
        <w:ind w:left="450" w:hanging="0"/>
        <w:jc w:val="both"/>
        <w:rPr>
          <w:rFonts w:eastAsia="Palatino Linotype"/>
          <w:color w:val="000000"/>
          <w:lang w:val="sk-SK" w:eastAsia="sk-SK"/>
        </w:rPr>
      </w:pPr>
      <w:r>
        <w:rPr>
          <w:rFonts w:eastAsia="Palatino Linotype"/>
          <w:color w:val="000000"/>
          <w:lang w:val="sk-SK" w:eastAsia="sk-SK"/>
        </w:rPr>
      </w:r>
    </w:p>
    <w:p>
      <w:pPr>
        <w:pStyle w:val="Normal"/>
        <w:numPr>
          <w:ilvl w:val="1"/>
          <w:numId w:val="11"/>
        </w:numPr>
        <w:suppressAutoHyphens w:val="false"/>
        <w:jc w:val="both"/>
        <w:rPr>
          <w:rFonts w:eastAsia="Palatino Linotype"/>
          <w:color w:val="000000"/>
          <w:lang w:val="sk-SK" w:eastAsia="sk-SK"/>
        </w:rPr>
      </w:pPr>
      <w:r>
        <w:rPr>
          <w:lang w:val="sk-SK"/>
        </w:rPr>
        <w:t>V prípade, že dôjde k ukončeniu zmluvy, berie prevádzkovateľ na vedomie, že poskytovateľ od dátumu ukončenia zmluvy nenesie žiadnu zodpovednosť za stav spracovania osobných údajov u prevádzkovateľa ani za žiadnu prípadnú pokutu zo strany úradu.</w:t>
      </w:r>
    </w:p>
    <w:p>
      <w:pPr>
        <w:pStyle w:val="Odsekzoznamu1"/>
        <w:rPr>
          <w:lang w:val="sk-SK"/>
        </w:rPr>
      </w:pPr>
      <w:r>
        <w:rPr>
          <w:lang w:val="sk-SK"/>
        </w:rPr>
      </w:r>
    </w:p>
    <w:p>
      <w:pPr>
        <w:pStyle w:val="Normal"/>
        <w:jc w:val="center"/>
        <w:rPr>
          <w:rFonts w:cs="Arial-BoldMT"/>
          <w:b/>
          <w:b/>
          <w:bCs/>
          <w:lang w:val="sk-SK"/>
        </w:rPr>
      </w:pPr>
      <w:r>
        <w:rPr>
          <w:b/>
          <w:lang w:val="sk-SK"/>
        </w:rPr>
        <w:t>čl. XI.</w:t>
      </w:r>
    </w:p>
    <w:p>
      <w:pPr>
        <w:pStyle w:val="Normal"/>
        <w:jc w:val="center"/>
        <w:rPr>
          <w:rFonts w:cs="Arial-BoldMT"/>
          <w:b/>
          <w:b/>
          <w:bCs/>
          <w:lang w:val="sk-SK"/>
        </w:rPr>
      </w:pPr>
      <w:r>
        <w:rPr>
          <w:rFonts w:cs="Arial-BoldMT"/>
          <w:b/>
          <w:bCs/>
          <w:lang w:val="sk-SK"/>
        </w:rPr>
        <w:t>Dôvernosť informácií a mlčanlivosť</w:t>
      </w:r>
    </w:p>
    <w:p>
      <w:pPr>
        <w:pStyle w:val="Normal"/>
        <w:jc w:val="center"/>
        <w:rPr>
          <w:rFonts w:cs="Arial-BoldMT"/>
          <w:b/>
          <w:b/>
          <w:bCs/>
          <w:lang w:val="sk-SK"/>
        </w:rPr>
      </w:pPr>
      <w:r>
        <w:rPr>
          <w:rFonts w:cs="Arial-BoldMT"/>
          <w:b/>
          <w:bCs/>
          <w:lang w:val="sk-SK"/>
        </w:rPr>
      </w:r>
    </w:p>
    <w:p>
      <w:pPr>
        <w:pStyle w:val="Normal"/>
        <w:numPr>
          <w:ilvl w:val="1"/>
          <w:numId w:val="1"/>
        </w:numPr>
        <w:jc w:val="both"/>
        <w:rPr>
          <w:rFonts w:cs="ArialMT"/>
          <w:lang w:val="sk-SK"/>
        </w:rPr>
      </w:pPr>
      <w:r>
        <w:rPr>
          <w:rFonts w:cs="ArialMT"/>
          <w:lang w:val="sk-SK"/>
        </w:rPr>
        <w:t>Zmluvné strany, nimi poverené osoby, subdodávatelia, ako aj zamestnanci oboch zmluvných strán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 18/2018 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pPr>
        <w:pStyle w:val="Normal"/>
        <w:jc w:val="both"/>
        <w:rPr>
          <w:rFonts w:cs="ArialMT"/>
          <w:lang w:val="sk-SK"/>
        </w:rPr>
      </w:pPr>
      <w:r>
        <w:rPr>
          <w:rFonts w:cs="ArialMT"/>
          <w:lang w:val="sk-SK"/>
        </w:rPr>
      </w:r>
    </w:p>
    <w:p>
      <w:pPr>
        <w:pStyle w:val="Normal"/>
        <w:numPr>
          <w:ilvl w:val="0"/>
          <w:numId w:val="5"/>
        </w:numPr>
        <w:tabs>
          <w:tab w:val="left" w:pos="1134" w:leader="none"/>
        </w:tabs>
        <w:ind w:left="1134" w:hanging="425"/>
        <w:jc w:val="both"/>
        <w:rPr>
          <w:rFonts w:cs="ArialMT"/>
          <w:lang w:val="sk-SK"/>
        </w:rPr>
      </w:pPr>
      <w:r>
        <w:rPr>
          <w:rFonts w:cs="ArialMT"/>
          <w:lang w:val="sk-SK"/>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pPr>
        <w:pStyle w:val="Normal"/>
        <w:numPr>
          <w:ilvl w:val="0"/>
          <w:numId w:val="5"/>
        </w:numPr>
        <w:tabs>
          <w:tab w:val="left" w:pos="1134" w:leader="none"/>
        </w:tabs>
        <w:ind w:left="1134" w:hanging="425"/>
        <w:jc w:val="both"/>
        <w:rPr>
          <w:rFonts w:cs="ArialMT"/>
          <w:lang w:val="sk-SK"/>
        </w:rPr>
      </w:pPr>
      <w:r>
        <w:rPr>
          <w:rFonts w:cs="ArialMT"/>
          <w:lang w:val="sk-SK"/>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pPr>
        <w:pStyle w:val="Normal"/>
        <w:numPr>
          <w:ilvl w:val="0"/>
          <w:numId w:val="5"/>
        </w:numPr>
        <w:tabs>
          <w:tab w:val="left" w:pos="1134" w:leader="none"/>
        </w:tabs>
        <w:ind w:left="1134" w:hanging="425"/>
        <w:jc w:val="both"/>
        <w:rPr>
          <w:rFonts w:cs="ArialMT"/>
          <w:lang w:val="sk-SK"/>
        </w:rPr>
      </w:pPr>
      <w:r>
        <w:rPr>
          <w:rFonts w:cs="ArialMT"/>
          <w:lang w:val="sk-SK"/>
        </w:rPr>
        <w:t>informácie, ktoré sa stanú po podpise zmluvy verejne známymi alebo ktoré možno po tomto dni získať z bežne dostupných informačných prostriedkov,</w:t>
      </w:r>
    </w:p>
    <w:p>
      <w:pPr>
        <w:pStyle w:val="Normal"/>
        <w:numPr>
          <w:ilvl w:val="0"/>
          <w:numId w:val="5"/>
        </w:numPr>
        <w:tabs>
          <w:tab w:val="left" w:pos="1134" w:leader="none"/>
        </w:tabs>
        <w:ind w:left="1134" w:hanging="425"/>
        <w:jc w:val="both"/>
        <w:rPr>
          <w:rFonts w:cs="ArialMT"/>
          <w:lang w:val="sk-SK"/>
        </w:rPr>
      </w:pPr>
      <w:r>
        <w:rPr>
          <w:rFonts w:cs="ArialMT"/>
          <w:lang w:val="sk-SK"/>
        </w:rPr>
        <w:t>ak je informácia poskytnutá odborným poradcom dotknutej zmluvnej strany (vrátane právnych, účtovných, daňových a iných poradcov), ktorí sú buď viazaní všeobecnou profesionálnou povinnosťou mlčanlivosti, alebo ak sa voči dotknutej zmluvnej strane zaviazali povinnosťou mlčanlivosti,</w:t>
      </w:r>
    </w:p>
    <w:p>
      <w:pPr>
        <w:pStyle w:val="Normal"/>
        <w:numPr>
          <w:ilvl w:val="0"/>
          <w:numId w:val="5"/>
        </w:numPr>
        <w:tabs>
          <w:tab w:val="left" w:pos="1134" w:leader="none"/>
        </w:tabs>
        <w:ind w:left="1134" w:hanging="425"/>
        <w:jc w:val="both"/>
        <w:rPr>
          <w:rFonts w:cs="ArialMT"/>
          <w:lang w:val="sk-SK"/>
        </w:rPr>
      </w:pPr>
      <w:r>
        <w:rPr>
          <w:rFonts w:cs="ArialMT"/>
          <w:lang w:val="sk-SK"/>
        </w:rPr>
        <w:t>pre účely akéhokoľvek súdneho, rozhodcovského, správneho alebo iného konania, ktorého je dotknutá zmluvná strana účastníkom,</w:t>
      </w:r>
    </w:p>
    <w:p>
      <w:pPr>
        <w:pStyle w:val="Normal"/>
        <w:numPr>
          <w:ilvl w:val="0"/>
          <w:numId w:val="5"/>
        </w:numPr>
        <w:tabs>
          <w:tab w:val="left" w:pos="1134" w:leader="none"/>
        </w:tabs>
        <w:ind w:left="1134" w:hanging="425"/>
        <w:jc w:val="both"/>
        <w:rPr>
          <w:rFonts w:cs="ArialMT"/>
          <w:lang w:val="sk-SK"/>
        </w:rPr>
      </w:pPr>
      <w:r>
        <w:rPr>
          <w:rFonts w:cs="ArialMT"/>
          <w:lang w:val="sk-SK"/>
        </w:rPr>
        <w:t>ak je informácia poskytnutá so súhlasom druhej zmluvnej strany.</w:t>
      </w:r>
    </w:p>
    <w:p>
      <w:pPr>
        <w:pStyle w:val="Normal"/>
        <w:rPr>
          <w:rFonts w:cs="ArialMT"/>
          <w:sz w:val="12"/>
          <w:szCs w:val="12"/>
          <w:lang w:val="sk-SK"/>
        </w:rPr>
      </w:pPr>
      <w:r>
        <w:rPr>
          <w:rFonts w:cs="ArialMT"/>
          <w:sz w:val="12"/>
          <w:szCs w:val="12"/>
          <w:lang w:val="sk-SK"/>
        </w:rPr>
      </w:r>
    </w:p>
    <w:p>
      <w:pPr>
        <w:pStyle w:val="Normal"/>
        <w:numPr>
          <w:ilvl w:val="1"/>
          <w:numId w:val="1"/>
        </w:numPr>
        <w:jc w:val="both"/>
        <w:rPr>
          <w:rFonts w:cs="ArialMT"/>
          <w:lang w:val="sk-SK"/>
        </w:rPr>
      </w:pPr>
      <w:r>
        <w:rPr>
          <w:rFonts w:cs="ArialMT"/>
          <w:lang w:val="sk-SK"/>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pPr>
        <w:pStyle w:val="Normal"/>
        <w:jc w:val="both"/>
        <w:rPr>
          <w:rFonts w:cs="ArialMT"/>
          <w:sz w:val="12"/>
          <w:szCs w:val="12"/>
          <w:lang w:val="sk-SK"/>
        </w:rPr>
      </w:pPr>
      <w:r>
        <w:rPr>
          <w:rFonts w:cs="ArialMT"/>
          <w:sz w:val="12"/>
          <w:szCs w:val="12"/>
          <w:lang w:val="sk-SK"/>
        </w:rPr>
      </w:r>
    </w:p>
    <w:p>
      <w:pPr>
        <w:pStyle w:val="Normal"/>
        <w:numPr>
          <w:ilvl w:val="1"/>
          <w:numId w:val="1"/>
        </w:numPr>
        <w:jc w:val="both"/>
        <w:rPr>
          <w:rFonts w:cs="ArialMT"/>
          <w:lang w:val="sk-SK"/>
        </w:rPr>
      </w:pPr>
      <w:r>
        <w:rPr>
          <w:rFonts w:cs="ArialMT"/>
          <w:lang w:val="sk-SK"/>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pPr>
        <w:pStyle w:val="Normal"/>
        <w:jc w:val="both"/>
        <w:rPr>
          <w:rFonts w:cs="ArialMT"/>
          <w:sz w:val="12"/>
          <w:szCs w:val="12"/>
          <w:lang w:val="sk-SK"/>
        </w:rPr>
      </w:pPr>
      <w:r>
        <w:rPr>
          <w:rFonts w:cs="ArialMT"/>
          <w:sz w:val="12"/>
          <w:szCs w:val="12"/>
          <w:lang w:val="sk-SK"/>
        </w:rPr>
      </w:r>
    </w:p>
    <w:p>
      <w:pPr>
        <w:pStyle w:val="Normal"/>
        <w:numPr>
          <w:ilvl w:val="1"/>
          <w:numId w:val="1"/>
        </w:numPr>
        <w:jc w:val="both"/>
        <w:rPr/>
      </w:pPr>
      <w:r>
        <w:rPr>
          <w:rFonts w:cs="ArialMT"/>
          <w:lang w:val="sk-SK"/>
        </w:rPr>
        <w:t>Zmluvné strany sa zaväzujú, že všetky zúčastnené osoby a subjekty budú s takto poskytnutými informáciami a zistenými skutočnosťami nakladať ako s dôvernými informáciami.</w:t>
      </w:r>
    </w:p>
    <w:p>
      <w:pPr>
        <w:pStyle w:val="Normal"/>
        <w:jc w:val="both"/>
        <w:rPr>
          <w:rFonts w:cs="ArialMT"/>
          <w:lang w:val="sk-SK"/>
        </w:rPr>
      </w:pPr>
      <w:r>
        <w:rPr>
          <w:rFonts w:cs="ArialMT"/>
          <w:lang w:val="sk-SK"/>
        </w:rPr>
      </w:r>
    </w:p>
    <w:p>
      <w:pPr>
        <w:pStyle w:val="Normal"/>
        <w:numPr>
          <w:ilvl w:val="1"/>
          <w:numId w:val="1"/>
        </w:numPr>
        <w:jc w:val="both"/>
        <w:rPr>
          <w:rFonts w:cs="ArialMT"/>
          <w:lang w:val="sk-SK"/>
        </w:rPr>
      </w:pPr>
      <w:r>
        <w:rPr>
          <w:rFonts w:cs="ArialMT"/>
          <w:lang w:val="sk-SK"/>
        </w:rPr>
        <w:t>Zmluvné strany sa zaväzujú, že upovedomia druhú zmluvnú stranu o porušení povinnosti mlčanlivosti bez zbytočného odkladu po tom, ako sa o takomto porušení dozvedeli.</w:t>
      </w:r>
    </w:p>
    <w:p>
      <w:pPr>
        <w:pStyle w:val="Normal"/>
        <w:jc w:val="both"/>
        <w:rPr>
          <w:rFonts w:cs="ArialMT"/>
          <w:lang w:val="sk-SK"/>
        </w:rPr>
      </w:pPr>
      <w:r>
        <w:rPr>
          <w:rFonts w:cs="ArialMT"/>
          <w:lang w:val="sk-SK"/>
        </w:rPr>
      </w:r>
    </w:p>
    <w:p>
      <w:pPr>
        <w:pStyle w:val="Normal"/>
        <w:numPr>
          <w:ilvl w:val="1"/>
          <w:numId w:val="1"/>
        </w:numPr>
        <w:jc w:val="both"/>
        <w:rPr>
          <w:lang w:val="sk-SK"/>
        </w:rPr>
      </w:pPr>
      <w:r>
        <w:rPr>
          <w:lang w:val="sk-SK"/>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pPr>
        <w:pStyle w:val="Normal"/>
        <w:jc w:val="both"/>
        <w:rPr>
          <w:lang w:val="sk-SK"/>
        </w:rPr>
      </w:pPr>
      <w:r>
        <w:rPr>
          <w:lang w:val="sk-SK"/>
        </w:rPr>
      </w:r>
    </w:p>
    <w:p>
      <w:pPr>
        <w:pStyle w:val="Normal"/>
        <w:jc w:val="center"/>
        <w:rPr>
          <w:b/>
          <w:b/>
          <w:lang w:val="sk-SK"/>
        </w:rPr>
      </w:pPr>
      <w:r>
        <w:rPr>
          <w:b/>
          <w:lang w:val="sk-SK"/>
        </w:rPr>
        <w:t>čl. XII.</w:t>
      </w:r>
    </w:p>
    <w:p>
      <w:pPr>
        <w:pStyle w:val="Normal"/>
        <w:jc w:val="center"/>
        <w:rPr>
          <w:b/>
          <w:b/>
          <w:lang w:val="sk-SK"/>
        </w:rPr>
      </w:pPr>
      <w:r>
        <w:rPr>
          <w:b/>
          <w:lang w:val="sk-SK"/>
        </w:rPr>
        <w:t>Voľba práva</w:t>
      </w:r>
    </w:p>
    <w:p>
      <w:pPr>
        <w:pStyle w:val="Normal"/>
        <w:jc w:val="center"/>
        <w:rPr>
          <w:b/>
          <w:b/>
          <w:lang w:val="sk-SK"/>
        </w:rPr>
      </w:pPr>
      <w:r>
        <w:rPr>
          <w:b/>
          <w:lang w:val="sk-SK"/>
        </w:rPr>
      </w:r>
    </w:p>
    <w:p>
      <w:pPr>
        <w:pStyle w:val="Normal"/>
        <w:numPr>
          <w:ilvl w:val="1"/>
          <w:numId w:val="8"/>
        </w:numPr>
        <w:jc w:val="both"/>
        <w:rPr>
          <w:lang w:val="sk-SK"/>
        </w:rPr>
      </w:pPr>
      <w:r>
        <w:rPr>
          <w:lang w:val="sk-SK"/>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pPr>
        <w:pStyle w:val="Normal"/>
        <w:jc w:val="both"/>
        <w:rPr>
          <w:lang w:val="sk-SK"/>
        </w:rPr>
      </w:pPr>
      <w:r>
        <w:rPr>
          <w:lang w:val="sk-SK"/>
        </w:rPr>
      </w:r>
    </w:p>
    <w:p>
      <w:pPr>
        <w:pStyle w:val="Normal"/>
        <w:numPr>
          <w:ilvl w:val="1"/>
          <w:numId w:val="8"/>
        </w:numPr>
        <w:jc w:val="both"/>
        <w:rPr>
          <w:b/>
          <w:b/>
          <w:lang w:val="sk-SK"/>
        </w:rPr>
      </w:pPr>
      <w:r>
        <w:rPr>
          <w:lang w:val="sk-SK"/>
        </w:rPr>
        <w:t xml:space="preserve">Rozhodným právom je tak v zmysle dohody zmluvných strán právo Slovenskej republiky (voľba práva). Je daná právomoc slovenských súdov v zmysle § 37e zák. č. 97/1963 Zb. o medzinárodnom práve súkromnom a procesnom.  </w:t>
      </w:r>
    </w:p>
    <w:p>
      <w:pPr>
        <w:pStyle w:val="Normal"/>
        <w:jc w:val="center"/>
        <w:rPr>
          <w:b/>
          <w:b/>
          <w:lang w:val="sk-SK"/>
        </w:rPr>
      </w:pPr>
      <w:r>
        <w:rPr>
          <w:b/>
          <w:lang w:val="sk-SK"/>
        </w:rPr>
      </w:r>
    </w:p>
    <w:p>
      <w:pPr>
        <w:pStyle w:val="Normal"/>
        <w:jc w:val="center"/>
        <w:rPr>
          <w:b/>
          <w:b/>
          <w:lang w:val="sk-SK"/>
        </w:rPr>
      </w:pPr>
      <w:r>
        <w:rPr>
          <w:b/>
          <w:lang w:val="sk-SK"/>
        </w:rPr>
        <w:t>čl. XIII.</w:t>
      </w:r>
    </w:p>
    <w:p>
      <w:pPr>
        <w:pStyle w:val="Normal"/>
        <w:jc w:val="center"/>
        <w:rPr>
          <w:lang w:val="sk-SK"/>
        </w:rPr>
      </w:pPr>
      <w:r>
        <w:rPr>
          <w:b/>
          <w:lang w:val="sk-SK"/>
        </w:rPr>
        <w:t>Záverečné ustanovenia</w:t>
      </w:r>
    </w:p>
    <w:p>
      <w:pPr>
        <w:pStyle w:val="Normal"/>
        <w:jc w:val="center"/>
        <w:rPr>
          <w:lang w:val="sk-SK"/>
        </w:rPr>
      </w:pPr>
      <w:r>
        <w:rPr>
          <w:lang w:val="sk-SK"/>
        </w:rPr>
      </w:r>
    </w:p>
    <w:p>
      <w:pPr>
        <w:pStyle w:val="Normal"/>
        <w:numPr>
          <w:ilvl w:val="1"/>
          <w:numId w:val="6"/>
        </w:numPr>
        <w:jc w:val="both"/>
        <w:rPr>
          <w:lang w:val="sk-SK"/>
        </w:rPr>
      </w:pPr>
      <w:r>
        <w:rPr>
          <w:lang w:val="sk-SK"/>
        </w:rPr>
        <w:t xml:space="preserve">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písomnosť správne zasielaná na poslednú oznámenú adresu jej adresáta. Rozhodujúcim pre doručenie je okamih, ktorý nastane najskôr.  </w:t>
      </w:r>
    </w:p>
    <w:p>
      <w:pPr>
        <w:pStyle w:val="Normal"/>
        <w:jc w:val="both"/>
        <w:rPr>
          <w:lang w:val="sk-SK"/>
        </w:rPr>
      </w:pPr>
      <w:r>
        <w:rPr>
          <w:lang w:val="sk-SK"/>
        </w:rPr>
      </w:r>
    </w:p>
    <w:p>
      <w:pPr>
        <w:pStyle w:val="Normal"/>
        <w:numPr>
          <w:ilvl w:val="1"/>
          <w:numId w:val="6"/>
        </w:numPr>
        <w:jc w:val="both"/>
        <w:rPr>
          <w:lang w:val="sk-SK"/>
        </w:rPr>
      </w:pPr>
      <w:r>
        <w:rPr>
          <w:lang w:val="sk-SK"/>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pPr>
        <w:pStyle w:val="Normal"/>
        <w:jc w:val="both"/>
        <w:rPr>
          <w:lang w:val="sk-SK"/>
        </w:rPr>
      </w:pPr>
      <w:r>
        <w:rPr>
          <w:lang w:val="sk-SK"/>
        </w:rPr>
      </w:r>
    </w:p>
    <w:p>
      <w:pPr>
        <w:pStyle w:val="Normal"/>
        <w:numPr>
          <w:ilvl w:val="1"/>
          <w:numId w:val="6"/>
        </w:numPr>
        <w:jc w:val="both"/>
        <w:rPr>
          <w:lang w:val="sk-SK"/>
        </w:rPr>
      </w:pPr>
      <w:r>
        <w:rPr>
          <w:lang w:val="sk-SK"/>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pPr>
        <w:pStyle w:val="Normal"/>
        <w:jc w:val="both"/>
        <w:rPr>
          <w:lang w:val="sk-SK"/>
        </w:rPr>
      </w:pPr>
      <w:r>
        <w:rPr>
          <w:lang w:val="sk-SK"/>
        </w:rPr>
      </w:r>
    </w:p>
    <w:p>
      <w:pPr>
        <w:pStyle w:val="Normal"/>
        <w:numPr>
          <w:ilvl w:val="1"/>
          <w:numId w:val="6"/>
        </w:numPr>
        <w:jc w:val="both"/>
        <w:rPr>
          <w:lang w:val="sk-SK"/>
        </w:rPr>
      </w:pPr>
      <w:r>
        <w:rPr>
          <w:lang w:val="sk-SK"/>
        </w:rPr>
        <w:t>Účastníci tejto zmluvy prehlasujú, že sa oboznámili s jej obsahom, porozumeli mu, súhlasia s ním, čo potvrdzujú svojimi podpismi.</w:t>
      </w:r>
    </w:p>
    <w:p>
      <w:pPr>
        <w:pStyle w:val="Normal"/>
        <w:jc w:val="both"/>
        <w:rPr>
          <w:lang w:val="sk-SK"/>
        </w:rPr>
      </w:pPr>
      <w:r>
        <w:rPr>
          <w:lang w:val="sk-SK"/>
        </w:rPr>
      </w:r>
    </w:p>
    <w:p>
      <w:pPr>
        <w:pStyle w:val="Normal"/>
        <w:numPr>
          <w:ilvl w:val="1"/>
          <w:numId w:val="6"/>
        </w:numPr>
        <w:jc w:val="both"/>
        <w:rPr>
          <w:lang w:val="sk-SK"/>
        </w:rPr>
      </w:pPr>
      <w:r>
        <w:rPr>
          <w:lang w:val="sk-SK"/>
        </w:rPr>
        <w:t>Zmluva je vyhotovená v dvoch rovnopisoch, pre každú zmluvnú stranu po jednom rovnopise.</w:t>
      </w:r>
    </w:p>
    <w:p>
      <w:pPr>
        <w:pStyle w:val="Normal"/>
        <w:jc w:val="both"/>
        <w:rPr>
          <w:lang w:val="sk-SK"/>
        </w:rPr>
      </w:pPr>
      <w:r>
        <w:rPr>
          <w:lang w:val="sk-SK"/>
        </w:rPr>
      </w:r>
    </w:p>
    <w:p>
      <w:pPr>
        <w:pStyle w:val="Normal"/>
        <w:ind w:firstLine="360"/>
        <w:rPr>
          <w:lang w:val="sk-SK"/>
        </w:rPr>
      </w:pPr>
      <w:r>
        <w:rPr>
          <w:lang w:val="sk-SK"/>
        </w:rPr>
      </w:r>
    </w:p>
    <w:p>
      <w:pPr>
        <w:pStyle w:val="Normal"/>
        <w:ind w:firstLine="360"/>
        <w:rPr>
          <w:lang w:val="sk-SK"/>
        </w:rPr>
      </w:pPr>
      <w:r>
        <w:rPr>
          <w:lang w:val="sk-SK"/>
        </w:rPr>
      </w:r>
    </w:p>
    <w:p>
      <w:pPr>
        <w:pStyle w:val="Normal"/>
        <w:ind w:firstLine="360"/>
        <w:rPr>
          <w:lang w:val="sk-SK"/>
        </w:rPr>
      </w:pPr>
      <w:r>
        <w:rPr>
          <w:lang w:val="sk-SK"/>
        </w:rPr>
      </w:r>
    </w:p>
    <w:p>
      <w:pPr>
        <w:pStyle w:val="Normal"/>
        <w:ind w:firstLine="360"/>
        <w:rPr>
          <w:lang w:val="sk-SK"/>
        </w:rPr>
      </w:pPr>
      <w:r>
        <w:rPr>
          <w:lang w:val="sk-SK"/>
        </w:rPr>
      </w:r>
    </w:p>
    <w:p>
      <w:pPr>
        <w:pStyle w:val="Normal"/>
        <w:ind w:firstLine="450"/>
        <w:rPr>
          <w:lang w:val="sk-SK"/>
        </w:rPr>
      </w:pPr>
      <w:r>
        <w:rPr>
          <w:lang w:val="sk-SK"/>
        </w:rPr>
        <w:t xml:space="preserve">Košice, dňa </w:t>
      </w:r>
      <w:bookmarkStart w:id="2" w:name="OLE_LINK2"/>
      <w:bookmarkStart w:id="3" w:name="OLE_LINK1"/>
      <w:r>
        <w:rPr>
          <w:lang w:val="sk-SK"/>
        </w:rPr>
        <w:t>...........................</w:t>
        <w:tab/>
      </w:r>
      <w:bookmarkEnd w:id="2"/>
      <w:bookmarkEnd w:id="3"/>
      <w:r>
        <w:rPr>
          <w:lang w:val="sk-SK"/>
        </w:rPr>
        <w:tab/>
        <w:tab/>
        <w:tab/>
        <w:t>Belá, dňa ...........................</w:t>
        <w:tab/>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jc w:val="both"/>
        <w:rPr>
          <w:lang w:val="sk-SK"/>
        </w:rPr>
      </w:pPr>
      <w:r>
        <w:rPr>
          <w:lang w:val="sk-SK"/>
        </w:rPr>
      </w:r>
    </w:p>
    <w:p>
      <w:pPr>
        <w:pStyle w:val="Normal"/>
        <w:ind w:firstLine="360"/>
        <w:jc w:val="both"/>
        <w:rPr>
          <w:b/>
          <w:b/>
          <w:lang w:val="sk-SK"/>
        </w:rPr>
      </w:pPr>
      <w:r>
        <w:rPr>
          <w:lang w:val="sk-SK"/>
        </w:rPr>
        <w:t>_________________________                                             _________________________</w:t>
      </w:r>
    </w:p>
    <w:p>
      <w:pPr>
        <w:pStyle w:val="Normal"/>
        <w:ind w:firstLine="360"/>
        <w:rPr>
          <w:b/>
          <w:b/>
          <w:lang w:val="sk-SK"/>
        </w:rPr>
      </w:pPr>
      <w:r>
        <w:rPr>
          <w:b/>
          <w:lang w:val="sk-SK"/>
        </w:rPr>
        <w:t xml:space="preserve">       </w:t>
      </w:r>
      <w:r>
        <w:rPr>
          <w:b/>
          <w:lang w:val="sk-SK"/>
        </w:rPr>
        <w:t>osobnyudaj.sk, s.r.o.</w:t>
        <w:tab/>
        <w:tab/>
        <w:tab/>
        <w:tab/>
        <w:t xml:space="preserve">            Obec Belá</w:t>
      </w:r>
    </w:p>
    <w:p>
      <w:pPr>
        <w:pStyle w:val="Normal"/>
        <w:ind w:firstLine="360"/>
        <w:rPr>
          <w:lang w:val="sk-SK"/>
        </w:rPr>
      </w:pPr>
      <w:r>
        <w:rPr>
          <w:b/>
          <w:lang w:val="sk-SK"/>
        </w:rPr>
        <w:t xml:space="preserve">            </w:t>
      </w:r>
      <w:r>
        <w:rPr>
          <w:b/>
          <w:lang w:val="sk-SK"/>
        </w:rPr>
        <w:t>Poskytovateľ</w:t>
        <w:tab/>
        <w:tab/>
        <w:tab/>
        <w:tab/>
        <w:t xml:space="preserve">           </w:t>
        <w:tab/>
        <w:tab/>
        <w:t>Prevádzkovateľ</w:t>
      </w:r>
    </w:p>
    <w:p>
      <w:pPr>
        <w:pStyle w:val="Normal"/>
        <w:ind w:firstLine="45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pBdr>
        <w:bottom w:val="single" w:sz="4" w:space="1" w:color="000001"/>
      </w:pBdr>
      <w:rPr/>
    </w:pPr>
    <w:r>
      <w:rPr/>
    </w:r>
  </w:p>
  <w:p>
    <w:pPr>
      <w:pStyle w:val="Pta"/>
      <w:rPr/>
    </w:pPr>
    <w:r>
      <w:rPr/>
    </w:r>
  </w:p>
  <w:p>
    <w:pPr>
      <w:pStyle w:val="Pta"/>
      <w:jc w:val="center"/>
      <w:rPr/>
    </w:pPr>
    <w:r>
      <w:rPr/>
      <w:t xml:space="preserve">strana </w:t>
    </w:r>
    <w:r>
      <w:rPr/>
      <w:fldChar w:fldCharType="begin"/>
    </w:r>
    <w:r>
      <w:instrText> PAGE </w:instrText>
    </w:r>
    <w:r>
      <w:fldChar w:fldCharType="separate"/>
    </w:r>
    <w:r>
      <w:t>8</w:t>
    </w:r>
    <w:r>
      <w:fldChar w:fldCharType="end"/>
    </w:r>
    <w:r>
      <w:rPr/>
      <w:t xml:space="preserve"> / </w:t>
    </w:r>
    <w:r>
      <w:rPr/>
      <w:fldChar w:fldCharType="begin"/>
    </w:r>
    <w:r>
      <w:instrText> NUMPAGES </w:instrText>
    </w:r>
    <w:r>
      <w:fldChar w:fldCharType="separate"/>
    </w:r>
    <w:r>
      <w:t>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1428"/>
        </w:tabs>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lvl w:ilvl="0">
      <w:start w:val="1"/>
      <w:numFmt w:val="lowerLetter"/>
      <w:lvlText w:val="%1)"/>
      <w:lvlJc w:val="left"/>
      <w:pPr>
        <w:tabs>
          <w:tab w:val="num" w:pos="1098"/>
        </w:tabs>
        <w:ind w:left="1098"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lvl w:ilvl="0">
      <w:start w:val="10"/>
      <w:numFmt w:val="decimal"/>
      <w:lvlText w:val="%1."/>
      <w:lvlJc w:val="left"/>
      <w:pPr>
        <w:ind w:left="450" w:hanging="450"/>
      </w:pPr>
      <w:rPr>
        <w:vertAlign w:val="baseline"/>
        <w:position w:val="0"/>
        <w:sz w:val="20"/>
        <w:sz w:val="20"/>
      </w:rPr>
    </w:lvl>
    <w:lvl w:ilvl="1">
      <w:start w:val="1"/>
      <w:numFmt w:val="decimal"/>
      <w:lvlText w:val="%1.%2."/>
      <w:lvlJc w:val="left"/>
      <w:pPr>
        <w:ind w:left="450" w:hanging="450"/>
      </w:pPr>
      <w:rPr>
        <w:vertAlign w:val="baseline"/>
        <w:position w:val="0"/>
        <w:sz w:val="20"/>
        <w:sz w:val="20"/>
      </w:rPr>
    </w:lvl>
    <w:lvl w:ilvl="2">
      <w:start w:val="1"/>
      <w:numFmt w:val="decimal"/>
      <w:lvlText w:val="%1.%2.%3."/>
      <w:lvlJc w:val="left"/>
      <w:pPr>
        <w:ind w:left="720" w:hanging="720"/>
      </w:pPr>
      <w:rPr>
        <w:vertAlign w:val="baseline"/>
        <w:position w:val="0"/>
        <w:sz w:val="20"/>
        <w:sz w:val="20"/>
      </w:rPr>
    </w:lvl>
    <w:lvl w:ilvl="3">
      <w:start w:val="1"/>
      <w:numFmt w:val="decimal"/>
      <w:lvlText w:val="%1.%2.%3.%4."/>
      <w:lvlJc w:val="left"/>
      <w:pPr>
        <w:ind w:left="720" w:hanging="720"/>
      </w:pPr>
      <w:rPr>
        <w:vertAlign w:val="baseline"/>
        <w:position w:val="0"/>
        <w:sz w:val="20"/>
        <w:sz w:val="20"/>
      </w:rPr>
    </w:lvl>
    <w:lvl w:ilvl="4">
      <w:start w:val="1"/>
      <w:numFmt w:val="decimal"/>
      <w:lvlText w:val="%1.%2.%3.%4.%5."/>
      <w:lvlJc w:val="left"/>
      <w:pPr>
        <w:ind w:left="1080" w:hanging="1080"/>
      </w:pPr>
      <w:rPr>
        <w:vertAlign w:val="baseline"/>
        <w:position w:val="0"/>
        <w:sz w:val="20"/>
        <w:sz w:val="20"/>
      </w:rPr>
    </w:lvl>
    <w:lvl w:ilvl="5">
      <w:start w:val="1"/>
      <w:numFmt w:val="decimal"/>
      <w:lvlText w:val="%1.%2.%3.%4.%5.%6."/>
      <w:lvlJc w:val="left"/>
      <w:pPr>
        <w:ind w:left="1080" w:hanging="1080"/>
      </w:pPr>
      <w:rPr>
        <w:vertAlign w:val="baseline"/>
        <w:position w:val="0"/>
        <w:sz w:val="20"/>
        <w:sz w:val="20"/>
      </w:rPr>
    </w:lvl>
    <w:lvl w:ilvl="6">
      <w:start w:val="1"/>
      <w:numFmt w:val="decimal"/>
      <w:lvlText w:val="%1.%2.%3.%4.%5.%6.%7."/>
      <w:lvlJc w:val="left"/>
      <w:pPr>
        <w:ind w:left="1440" w:hanging="1440"/>
      </w:pPr>
      <w:rPr>
        <w:vertAlign w:val="baseline"/>
        <w:position w:val="0"/>
        <w:sz w:val="20"/>
        <w:sz w:val="20"/>
      </w:rPr>
    </w:lvl>
    <w:lvl w:ilvl="7">
      <w:start w:val="1"/>
      <w:numFmt w:val="decimal"/>
      <w:lvlText w:val="%1.%2.%3.%4.%5.%6.%7.%8."/>
      <w:lvlJc w:val="left"/>
      <w:pPr>
        <w:ind w:left="1440" w:hanging="1440"/>
      </w:pPr>
      <w:rPr>
        <w:vertAlign w:val="baseline"/>
        <w:position w:val="0"/>
        <w:sz w:val="20"/>
        <w:sz w:val="20"/>
      </w:rPr>
    </w:lvl>
    <w:lvl w:ilvl="8">
      <w:start w:val="1"/>
      <w:numFmt w:val="decimal"/>
      <w:lvlText w:val="%1.%2.%3.%4.%5.%6.%7.%8.%9."/>
      <w:lvlJc w:val="left"/>
      <w:pPr>
        <w:ind w:left="1800" w:hanging="1800"/>
      </w:pPr>
      <w:rPr>
        <w:vertAlign w:val="baseline"/>
        <w:position w:val="0"/>
        <w:sz w:val="20"/>
        <w:sz w:val="20"/>
      </w:rPr>
    </w:lvl>
  </w:abstractNum>
  <w:abstractNum w:abstractNumId="12">
    <w:lvl w:ilvl="0">
      <w:start w:val="4"/>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8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GB" w:eastAsia="en-GB"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WW8Num13z0" w:customStyle="1">
    <w:name w:val="WW8Num13z0"/>
    <w:qFormat/>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30z0" w:customStyle="1">
    <w:name w:val="WW8Num30z0"/>
    <w:qFormat/>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Predvolenpsmoodseku1" w:customStyle="1">
    <w:name w:val="Predvolené písmo odseku1"/>
    <w:qFormat/>
    <w:rPr/>
  </w:style>
  <w:style w:type="character" w:styleId="Ra" w:customStyle="1">
    <w:name w:val="ra"/>
    <w:basedOn w:val="Predvolenpsmoodseku1"/>
    <w:qFormat/>
    <w:rPr/>
  </w:style>
  <w:style w:type="character" w:styleId="Appleconvertedspace" w:customStyle="1">
    <w:name w:val="apple-converted-space"/>
    <w:basedOn w:val="Predvolenpsmoodseku1"/>
    <w:qFormat/>
    <w:rPr/>
  </w:style>
  <w:style w:type="character" w:styleId="Internetovodkaz">
    <w:name w:val="Internetový odkaz"/>
    <w:rPr/>
  </w:style>
  <w:style w:type="character" w:styleId="Odkaznakomentr1" w:customStyle="1">
    <w:name w:val="Odkaz na komentár1"/>
    <w:qFormat/>
    <w:rPr>
      <w:sz w:val="16"/>
      <w:szCs w:val="16"/>
    </w:rPr>
  </w:style>
  <w:style w:type="character" w:styleId="TextkomentraChar" w:customStyle="1">
    <w:name w:val="Text komentára Char"/>
    <w:basedOn w:val="Predvolenpsmoodseku1"/>
    <w:qFormat/>
    <w:rPr/>
  </w:style>
  <w:style w:type="character" w:styleId="PredmetkomentraChar" w:customStyle="1">
    <w:name w:val="Predmet komentára Char"/>
    <w:qFormat/>
    <w:rPr>
      <w:b/>
      <w:bCs/>
    </w:rPr>
  </w:style>
  <w:style w:type="character" w:styleId="Symbolypreslovanie" w:customStyle="1">
    <w:name w:val="Symboly pre číslovanie"/>
    <w:qFormat/>
    <w:rPr>
      <w:sz w:val="20"/>
      <w:szCs w:val="20"/>
    </w:rPr>
  </w:style>
  <w:style w:type="character" w:styleId="Annotationreference">
    <w:name w:val="annotation reference"/>
    <w:basedOn w:val="DefaultParagraphFont"/>
    <w:uiPriority w:val="99"/>
    <w:semiHidden/>
    <w:unhideWhenUsed/>
    <w:qFormat/>
    <w:rsid w:val="00d60e7a"/>
    <w:rPr>
      <w:sz w:val="18"/>
      <w:szCs w:val="18"/>
    </w:rPr>
  </w:style>
  <w:style w:type="character" w:styleId="TextkomentraChar1" w:customStyle="1">
    <w:name w:val="Text komentára Char1"/>
    <w:basedOn w:val="DefaultParagraphFont"/>
    <w:link w:val="Textkomentra"/>
    <w:uiPriority w:val="99"/>
    <w:semiHidden/>
    <w:qFormat/>
    <w:rsid w:val="00d60e7a"/>
    <w:rPr>
      <w:sz w:val="24"/>
      <w:szCs w:val="24"/>
    </w:rPr>
  </w:style>
  <w:style w:type="character" w:styleId="PredmetkomentraChar1" w:customStyle="1">
    <w:name w:val="Predmet komentára Char1"/>
    <w:basedOn w:val="TextkomentraChar1"/>
    <w:link w:val="Predmetkomentra"/>
    <w:uiPriority w:val="99"/>
    <w:semiHidden/>
    <w:qFormat/>
    <w:rsid w:val="00d60e7a"/>
    <w:rPr>
      <w:b/>
      <w:bCs/>
      <w:sz w:val="24"/>
      <w:szCs w:val="24"/>
    </w:rPr>
  </w:style>
  <w:style w:type="character" w:styleId="TextbublinyChar" w:customStyle="1">
    <w:name w:val="Text bubliny Char"/>
    <w:basedOn w:val="DefaultParagraphFont"/>
    <w:link w:val="Textbubliny"/>
    <w:uiPriority w:val="99"/>
    <w:semiHidden/>
    <w:qFormat/>
    <w:rsid w:val="00d60e7a"/>
    <w:rPr>
      <w:sz w:val="18"/>
      <w:szCs w:val="18"/>
    </w:rPr>
  </w:style>
  <w:style w:type="character" w:styleId="Nevyrieenzmienka1" w:customStyle="1">
    <w:name w:val="Nevyriešená zmienka1"/>
    <w:basedOn w:val="DefaultParagraphFont"/>
    <w:uiPriority w:val="99"/>
    <w:semiHidden/>
    <w:unhideWhenUsed/>
    <w:qFormat/>
    <w:rsid w:val="00b03119"/>
    <w:rPr>
      <w:color w:val="808080"/>
      <w:shd w:fill="E6E6E6" w:val="clear"/>
    </w:rPr>
  </w:style>
  <w:style w:type="character" w:styleId="UnresolvedMention">
    <w:name w:val="Unresolved Mention"/>
    <w:basedOn w:val="DefaultParagraphFont"/>
    <w:uiPriority w:val="99"/>
    <w:semiHidden/>
    <w:unhideWhenUsed/>
    <w:qFormat/>
    <w:rsid w:val="00646a7a"/>
    <w:rPr>
      <w:color w:val="808080"/>
      <w:shd w:fill="E6E6E6" w:val="clear"/>
    </w:rPr>
  </w:style>
  <w:style w:type="character" w:styleId="ListLabel1">
    <w:name w:val="ListLabel 1"/>
    <w:qFormat/>
    <w:rPr>
      <w:b/>
    </w:rPr>
  </w:style>
  <w:style w:type="character" w:styleId="ListLabel2">
    <w:name w:val="ListLabel 2"/>
    <w:qFormat/>
    <w:rPr>
      <w:position w:val="0"/>
      <w:sz w:val="20"/>
      <w:sz w:val="20"/>
      <w:vertAlign w:val="baseline"/>
    </w:rPr>
  </w:style>
  <w:style w:type="character" w:styleId="ListLabel3">
    <w:name w:val="ListLabel 3"/>
    <w:qFormat/>
    <w:rPr>
      <w:b/>
    </w:rPr>
  </w:style>
  <w:style w:type="character" w:styleId="ListLabel4">
    <w:name w:val="ListLabel 4"/>
    <w:qFormat/>
    <w:rPr>
      <w:position w:val="0"/>
      <w:sz w:val="20"/>
      <w:sz w:val="20"/>
      <w:vertAlign w:val="baseline"/>
    </w:rPr>
  </w:style>
  <w:style w:type="character" w:styleId="ListLabel5">
    <w:name w:val="ListLabel 5"/>
    <w:qFormat/>
    <w:rPr>
      <w:b/>
    </w:rPr>
  </w:style>
  <w:style w:type="character" w:styleId="ListLabel6">
    <w:name w:val="ListLabel 6"/>
    <w:qFormat/>
    <w:rPr>
      <w:position w:val="0"/>
      <w:sz w:val="20"/>
      <w:sz w:val="20"/>
      <w:vertAlign w:val="baseline"/>
    </w:rPr>
  </w:style>
  <w:style w:type="paragraph" w:styleId="Nadpis" w:customStyle="1">
    <w:name w:val="Nadpis"/>
    <w:basedOn w:val="Normal"/>
    <w:next w:val="Telotextu"/>
    <w:qFormat/>
    <w:pPr>
      <w:keepNext/>
      <w:spacing w:before="240" w:after="120"/>
    </w:pPr>
    <w:rPr/>
  </w:style>
  <w:style w:type="paragraph" w:styleId="Telotextu">
    <w:name w:val="Telo textu"/>
    <w:basedOn w:val="Normal"/>
    <w:pPr>
      <w:spacing w:before="0" w:after="12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Popisok" w:customStyle="1">
    <w:name w:val="Popisok"/>
    <w:basedOn w:val="Normal"/>
    <w:qFormat/>
    <w:pPr>
      <w:suppressLineNumbers/>
      <w:spacing w:before="120" w:after="120"/>
    </w:pPr>
    <w:rPr/>
  </w:style>
  <w:style w:type="paragraph" w:styleId="Hlavika">
    <w:name w:val="Hlavička"/>
    <w:basedOn w:val="Normal"/>
    <w:pPr>
      <w:tabs>
        <w:tab w:val="center" w:pos="4536" w:leader="none"/>
        <w:tab w:val="right" w:pos="9072" w:leader="none"/>
      </w:tabs>
    </w:pPr>
    <w:rPr/>
  </w:style>
  <w:style w:type="paragraph" w:styleId="Pta">
    <w:name w:val="Päta"/>
    <w:basedOn w:val="Normal"/>
    <w:pPr>
      <w:tabs>
        <w:tab w:val="center" w:pos="4536" w:leader="none"/>
        <w:tab w:val="right" w:pos="9072" w:leader="none"/>
      </w:tabs>
    </w:pPr>
    <w:rPr/>
  </w:style>
  <w:style w:type="paragraph" w:styleId="Obsahtabuky" w:customStyle="1">
    <w:name w:val="Obsah tabuľky"/>
    <w:basedOn w:val="Normal"/>
    <w:qFormat/>
    <w:pPr>
      <w:widowControl w:val="false"/>
      <w:suppressLineNumbers/>
    </w:pPr>
    <w:rPr/>
  </w:style>
  <w:style w:type="paragraph" w:styleId="Body1" w:customStyle="1">
    <w:name w:val="Body 1"/>
    <w:qFormat/>
    <w:pPr>
      <w:widowControl/>
      <w:suppressAutoHyphens w:val="true"/>
      <w:bidi w:val="0"/>
      <w:jc w:val="left"/>
    </w:pPr>
    <w:rPr>
      <w:rFonts w:ascii="Times New Roman" w:hAnsi="Times New Roman" w:eastAsia="Times New Roman" w:cs="Times New Roman"/>
      <w:color w:val="00000A"/>
      <w:sz w:val="20"/>
      <w:szCs w:val="20"/>
      <w:lang w:val="en-GB" w:eastAsia="en-GB" w:bidi="ar-SA"/>
    </w:rPr>
  </w:style>
  <w:style w:type="paragraph" w:styleId="Textbubliny1" w:customStyle="1">
    <w:name w:val="Text bubliny1"/>
    <w:basedOn w:val="Normal"/>
    <w:qFormat/>
    <w:pPr/>
    <w:rPr/>
  </w:style>
  <w:style w:type="paragraph" w:styleId="Odsekzoznamu1" w:customStyle="1">
    <w:name w:val="Odsek zoznamu1"/>
    <w:basedOn w:val="Normal"/>
    <w:qFormat/>
    <w:pPr>
      <w:ind w:left="708" w:hanging="0"/>
    </w:pPr>
    <w:rPr/>
  </w:style>
  <w:style w:type="paragraph" w:styleId="Textkomentra1" w:customStyle="1">
    <w:name w:val="Text komentára1"/>
    <w:basedOn w:val="Normal"/>
    <w:qFormat/>
    <w:pPr/>
    <w:rPr/>
  </w:style>
  <w:style w:type="paragraph" w:styleId="Predmetkomentra1" w:customStyle="1">
    <w:name w:val="Predmet komentára1"/>
    <w:basedOn w:val="Textkomentra1"/>
    <w:qFormat/>
    <w:pPr/>
    <w:rPr/>
  </w:style>
  <w:style w:type="paragraph" w:styleId="Annotationtext">
    <w:name w:val="annotation text"/>
    <w:basedOn w:val="Normal"/>
    <w:link w:val="TextkomentraChar1"/>
    <w:uiPriority w:val="99"/>
    <w:semiHidden/>
    <w:unhideWhenUsed/>
    <w:qFormat/>
    <w:rsid w:val="00d60e7a"/>
    <w:pPr/>
    <w:rPr>
      <w:sz w:val="24"/>
      <w:szCs w:val="24"/>
    </w:rPr>
  </w:style>
  <w:style w:type="paragraph" w:styleId="Annotationsubject">
    <w:name w:val="annotation subject"/>
    <w:basedOn w:val="Annotationtext"/>
    <w:link w:val="PredmetkomentraChar1"/>
    <w:uiPriority w:val="99"/>
    <w:semiHidden/>
    <w:unhideWhenUsed/>
    <w:qFormat/>
    <w:rsid w:val="00d60e7a"/>
    <w:pPr/>
    <w:rPr>
      <w:b/>
      <w:bCs/>
      <w:sz w:val="20"/>
      <w:szCs w:val="20"/>
    </w:rPr>
  </w:style>
  <w:style w:type="paragraph" w:styleId="BalloonText">
    <w:name w:val="Balloon Text"/>
    <w:basedOn w:val="Normal"/>
    <w:link w:val="TextbublinyChar"/>
    <w:uiPriority w:val="99"/>
    <w:semiHidden/>
    <w:unhideWhenUsed/>
    <w:qFormat/>
    <w:rsid w:val="00d60e7a"/>
    <w:pPr/>
    <w:rPr>
      <w:sz w:val="18"/>
      <w:szCs w:val="18"/>
    </w:rPr>
  </w:style>
  <w:style w:type="paragraph" w:styleId="ListParagraph">
    <w:name w:val="List Paragraph"/>
    <w:basedOn w:val="Normal"/>
    <w:uiPriority w:val="34"/>
    <w:qFormat/>
    <w:rsid w:val="00ed7f89"/>
    <w:pPr>
      <w:spacing w:before="0" w:after="0"/>
      <w:ind w:left="720" w:hanging="0"/>
      <w:contextualSpacing/>
    </w:pPr>
    <w:rPr/>
  </w:style>
  <w:style w:type="paragraph" w:styleId="Citcie">
    <w:name w:val="Citácie"/>
    <w:basedOn w:val="Normal"/>
    <w:qFormat/>
    <w:pPr/>
    <w:rPr/>
  </w:style>
  <w:style w:type="paragraph" w:styleId="Nzov">
    <w:name w:val="Názov"/>
    <w:basedOn w:val="Nadpis"/>
    <w:pPr/>
    <w:rPr/>
  </w:style>
  <w:style w:type="paragraph" w:styleId="Podnzov">
    <w:name w:val="Podnázov"/>
    <w:basedOn w:val="Nadpis"/>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LibreOffice/5.0.2.2$Windows_X86_64 LibreOffice_project/37b43f919e4de5eeaca9b9755ed688758a8251fe</Application>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2018-05-22T23:12:00Z</dcterms:created>
  <dc:creator>Ing. Tomáš Dopirák</dc:creator>
  <dc:language>sk-SK</dc:language>
  <cp:lastPrinted>2017-12-08T09:27:00Z</cp:lastPrinted>
  <dcterms:modified xsi:type="dcterms:W3CDTF">2018-06-07T14:31:57Z</dcterms:modified>
  <cp:revision>5</cp:revision>
  <dc:title>Zmluva o spolupráci a o podpore odberateľsko – dodávateľských vzťahov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